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3BE2B949" w:rsidR="00E34E8A" w:rsidRPr="0096632C" w:rsidRDefault="00197BD2" w:rsidP="0096632C">
      <w:pPr>
        <w:pStyle w:val="Title-p1"/>
      </w:pPr>
      <w:r w:rsidRPr="0096632C">
        <mc:AlternateContent>
          <mc:Choice Requires="wps">
            <w:drawing>
              <wp:anchor distT="45720" distB="45720" distL="114300" distR="114300" simplePos="0" relativeHeight="251658243" behindDoc="0" locked="0" layoutInCell="1" allowOverlap="1" wp14:anchorId="22C1D86A" wp14:editId="67C87990">
                <wp:simplePos x="0" y="0"/>
                <wp:positionH relativeFrom="column">
                  <wp:posOffset>4160521</wp:posOffset>
                </wp:positionH>
                <wp:positionV relativeFrom="paragraph">
                  <wp:posOffset>-605246</wp:posOffset>
                </wp:positionV>
                <wp:extent cx="2481308"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81308" cy="346710"/>
                        </a:xfrm>
                        <a:prstGeom prst="rect">
                          <a:avLst/>
                        </a:prstGeom>
                        <a:solidFill>
                          <a:srgbClr val="FFFFFF">
                            <a:alpha val="0"/>
                          </a:srgbClr>
                        </a:solidFill>
                        <a:ln w="9525">
                          <a:noFill/>
                          <a:miter lim="800000"/>
                          <a:headEnd/>
                          <a:tailEnd/>
                        </a:ln>
                      </wps:spPr>
                      <wps:txbx>
                        <w:txbxContent>
                          <w:p w14:paraId="6E2E2693" w14:textId="7A039D9C" w:rsidR="00A0072A" w:rsidRPr="00390C82" w:rsidRDefault="00617926" w:rsidP="00A0072A">
                            <w:pPr>
                              <w:jc w:val="right"/>
                              <w:rPr>
                                <w:b/>
                                <w:bCs/>
                                <w:sz w:val="28"/>
                                <w:szCs w:val="28"/>
                              </w:rPr>
                            </w:pPr>
                            <w:r>
                              <w:rPr>
                                <w:b/>
                                <w:bCs/>
                                <w:sz w:val="28"/>
                                <w:szCs w:val="28"/>
                              </w:rPr>
                              <w:t>Research and Practice Brief</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27.6pt;margin-top:-47.65pt;width:195.4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" stroked="f">
                <v:fill opacity="0"/>
                <v:textbox>
                  <w:txbxContent>
                    <w:p w14:paraId="6E2E2693" w14:textId="7A039D9C" w:rsidR="00A0072A" w:rsidRPr="00390C82" w:rsidRDefault="00617926" w:rsidP="00A0072A">
                      <w:pPr>
                        <w:jc w:val="right"/>
                        <w:rPr>
                          <w:b/>
                          <w:bCs/>
                          <w:sz w:val="28"/>
                          <w:szCs w:val="28"/>
                        </w:rPr>
                      </w:pPr>
                      <w:r>
                        <w:rPr>
                          <w:b/>
                          <w:bCs/>
                          <w:sz w:val="28"/>
                          <w:szCs w:val="28"/>
                        </w:rPr>
                        <w:t>Research and Practice Brief</w:t>
                      </w:r>
                    </w:p>
                  </w:txbxContent>
                </v:textbox>
              </v:shape>
            </w:pict>
          </mc:Fallback>
        </mc:AlternateContent>
      </w:r>
      <w:r w:rsidR="00A0072A" w:rsidRPr="0096632C">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C4641" w:rsidRPr="0096632C">
        <w:t>G</w:t>
      </w:r>
      <w:bookmarkStart w:id="0" w:name="_Hlk159326091"/>
      <w:r w:rsidR="009C4641" w:rsidRPr="0096632C">
        <w:t>uiding</w:t>
      </w:r>
      <w:r w:rsidR="00921065" w:rsidRPr="0096632C">
        <w:t xml:space="preserve"> Positive Student Behavior: Research</w:t>
      </w:r>
      <w:r w:rsidR="00617926" w:rsidRPr="0096632C">
        <w:t> </w:t>
      </w:r>
      <w:r w:rsidR="00921065" w:rsidRPr="0096632C">
        <w:t>and</w:t>
      </w:r>
      <w:r w:rsidR="00617926" w:rsidRPr="0096632C">
        <w:t> </w:t>
      </w:r>
      <w:r w:rsidR="00921065" w:rsidRPr="0096632C">
        <w:t>Practice</w:t>
      </w:r>
      <w:r w:rsidR="00617926" w:rsidRPr="0096632C">
        <w:t> </w:t>
      </w:r>
      <w:r w:rsidR="00921065" w:rsidRPr="0096632C">
        <w:t>Brief</w:t>
      </w:r>
      <w:bookmarkEnd w:id="0"/>
    </w:p>
    <w:p w14:paraId="48883367" w14:textId="5E870D5D" w:rsidR="0043424D" w:rsidRDefault="0043424D" w:rsidP="0043424D">
      <w:pPr>
        <w:pStyle w:val="BodyText"/>
      </w:pPr>
      <w:bookmarkStart w:id="1" w:name="_Hlk159323442"/>
      <w:r>
        <w:t xml:space="preserve">This brief summarizes findings from research and practice that can help out-of-school time staff understand and respond appropriately to </w:t>
      </w:r>
      <w:r w:rsidR="003B3815">
        <w:t xml:space="preserve">challenging </w:t>
      </w:r>
      <w:r>
        <w:t>student behavior</w:t>
      </w:r>
      <w:r w:rsidR="00ED0DD4">
        <w:t>, with special attention</w:t>
      </w:r>
      <w:r w:rsidR="00AB7FC5">
        <w:t xml:space="preserve"> to issues a</w:t>
      </w:r>
      <w:r w:rsidR="008A5FEA">
        <w:t>nd practices relevant to the</w:t>
      </w:r>
      <w:r w:rsidR="00435F68">
        <w:t xml:space="preserve"> postpandemic environment. </w:t>
      </w:r>
      <w:r w:rsidR="001E0DFB">
        <w:t xml:space="preserve"> </w:t>
      </w:r>
    </w:p>
    <w:p w14:paraId="134AEC92" w14:textId="22A9EEEC" w:rsidR="00E003F9" w:rsidRPr="000D69A2" w:rsidRDefault="00373237" w:rsidP="00467660">
      <w:pPr>
        <w:pStyle w:val="Heading1"/>
      </w:pPr>
      <w:bookmarkStart w:id="2" w:name="_Hlk159323454"/>
      <w:r w:rsidRPr="0096632C">
        <w:t>The Case for Rethinking Responses to Challenging Student Behavior</w:t>
      </w:r>
      <w:r w:rsidRPr="00373237">
        <w:t> </w:t>
      </w:r>
      <w:bookmarkEnd w:id="2"/>
    </w:p>
    <w:bookmarkEnd w:id="1"/>
    <w:p w14:paraId="25A56848" w14:textId="4D221304" w:rsidR="00A91C0B" w:rsidRPr="00647864" w:rsidRDefault="001B3FA2" w:rsidP="00647864">
      <w:pPr>
        <w:pStyle w:val="BodyText"/>
      </w:pPr>
      <w:r>
        <w:rPr>
          <w:rFonts w:cstheme="minorHAnsi"/>
          <w:noProof/>
        </w:rPr>
        <mc:AlternateContent>
          <mc:Choice Requires="wps">
            <w:drawing>
              <wp:anchor distT="0" distB="0" distL="114300" distR="114300" simplePos="0" relativeHeight="251658244" behindDoc="0" locked="0" layoutInCell="1" allowOverlap="1" wp14:anchorId="480BF7DD" wp14:editId="2777E426">
                <wp:simplePos x="0" y="0"/>
                <wp:positionH relativeFrom="column">
                  <wp:posOffset>4249420</wp:posOffset>
                </wp:positionH>
                <wp:positionV relativeFrom="paragraph">
                  <wp:posOffset>161290</wp:posOffset>
                </wp:positionV>
                <wp:extent cx="1997075" cy="1133475"/>
                <wp:effectExtent l="0" t="0" r="22225" b="28575"/>
                <wp:wrapSquare wrapText="bothSides"/>
                <wp:docPr id="47746676" name="Rectangle: Rounded Corners 477466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7075" cy="113347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9680214" w14:textId="5914AD05" w:rsidR="00BD6E2B" w:rsidRDefault="00BD6E2B" w:rsidP="00BD6E2B">
                            <w:r>
                              <w:t xml:space="preserve">See the </w:t>
                            </w:r>
                            <w:hyperlink r:id="rId11" w:history="1">
                              <w:r w:rsidRPr="00BD6C9E">
                                <w:rPr>
                                  <w:rStyle w:val="Hyperlink"/>
                                </w:rPr>
                                <w:t>21</w:t>
                              </w:r>
                              <w:r w:rsidRPr="00BD6C9E">
                                <w:rPr>
                                  <w:rStyle w:val="Hyperlink"/>
                                  <w:vertAlign w:val="superscript"/>
                                </w:rPr>
                                <w:t>st</w:t>
                              </w:r>
                              <w:r w:rsidRPr="00BD6C9E">
                                <w:rPr>
                                  <w:rStyle w:val="Hyperlink"/>
                                </w:rPr>
                                <w:t xml:space="preserve"> CCLC NTAC website</w:t>
                              </w:r>
                            </w:hyperlink>
                            <w:r>
                              <w:t xml:space="preserve"> for information and resources on trauma-informed approaches in out-of-school time </w:t>
                            </w:r>
                            <w:r w:rsidR="001B3FA2">
                              <w:t>settings</w:t>
                            </w:r>
                            <w: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80BF7DD" id="Rectangle: Rounded Corners 47746676" o:spid="_x0000_s1027" style="position:absolute;margin-left:334.6pt;margin-top:12.7pt;width:157.25pt;height:89.2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" fillcolor="#66348c" strokecolor="#66348c [3214]" strokeweight="2pt">
                <v:fill opacity="9252f"/>
                <v:textbox>
                  <w:txbxContent>
                    <w:p w14:paraId="59680214" w14:textId="5914AD05" w:rsidR="00BD6E2B" w:rsidRDefault="00BD6E2B" w:rsidP="00BD6E2B">
                      <w:r>
                        <w:t xml:space="preserve">See the </w:t>
                      </w:r>
                      <w:hyperlink r:id="rId12" w:history="1">
                        <w:r w:rsidRPr="00BD6C9E">
                          <w:rPr>
                            <w:rStyle w:val="Hyperlink"/>
                          </w:rPr>
                          <w:t>21</w:t>
                        </w:r>
                        <w:r w:rsidRPr="00BD6C9E">
                          <w:rPr>
                            <w:rStyle w:val="Hyperlink"/>
                            <w:vertAlign w:val="superscript"/>
                          </w:rPr>
                          <w:t>st</w:t>
                        </w:r>
                        <w:r w:rsidRPr="00BD6C9E">
                          <w:rPr>
                            <w:rStyle w:val="Hyperlink"/>
                          </w:rPr>
                          <w:t xml:space="preserve"> CCLC NTAC website</w:t>
                        </w:r>
                      </w:hyperlink>
                      <w:r>
                        <w:t xml:space="preserve"> for information and resources on trauma-informed approaches in out-of-school time </w:t>
                      </w:r>
                      <w:r w:rsidR="001B3FA2">
                        <w:t>settings</w:t>
                      </w:r>
                      <w:r>
                        <w:t xml:space="preserve">.  </w:t>
                      </w:r>
                    </w:p>
                  </w:txbxContent>
                </v:textbox>
                <w10:wrap type="square"/>
              </v:roundrect>
            </w:pict>
          </mc:Fallback>
        </mc:AlternateContent>
      </w:r>
      <w:r w:rsidR="00F46828" w:rsidRPr="00647864">
        <w:t>Corporal punishment (Robinson et al., 2005), exclusionary discipline (Nese et al., 2020; Jones et al., 2018), and verbal corrections in front of peers (Goodman &amp; Cook, 2019) are practices that have been proven ineffective at changing student behaviors; these practices have deepened existing racial and ableist inequities (Skiba et al., 2022), lowered graduation rates, and pushed students into the judicial system (Losen &amp; Martinez, 2013). A review of the literature (Bishop et al</w:t>
      </w:r>
      <w:r w:rsidR="00D61E74">
        <w:t>.</w:t>
      </w:r>
      <w:r w:rsidR="00F46828" w:rsidRPr="00647864">
        <w:t>, 2022) determined that these inequities in discipline begin in preschool, consigning large factions of already underserved populations to an unnecessary uphill battle, noting, “If we meet students where they are and together build an environment they want to be in, discipline becomes less of an issue, more time is devoted to the curriculum, students and teachers are engaged in deeper ways, and everyone’s well-being increases.”  </w:t>
      </w:r>
    </w:p>
    <w:p w14:paraId="63D73B88" w14:textId="5D976440" w:rsidR="00DE1F9D" w:rsidRDefault="0014198B" w:rsidP="00647864">
      <w:pPr>
        <w:pStyle w:val="Heading1"/>
      </w:pPr>
      <w:r w:rsidRPr="009028B3">
        <w:t>Trauma and Behavior Concerns </w:t>
      </w:r>
    </w:p>
    <w:p w14:paraId="07C7BA8B" w14:textId="77777777" w:rsidR="006443ED" w:rsidRDefault="0085463C" w:rsidP="00647864">
      <w:pPr>
        <w:pStyle w:val="BodyText"/>
        <w:rPr>
          <w:rStyle w:val="normaltextrun"/>
          <w:rFonts w:cstheme="minorHAnsi"/>
        </w:rPr>
      </w:pPr>
      <w:r w:rsidRPr="00BA38C2">
        <w:rPr>
          <w:rStyle w:val="normaltextrun"/>
          <w:rFonts w:cstheme="minorHAnsi"/>
        </w:rPr>
        <w:t>Sanders et al. (2023) note, “(A) burgeoning body of knowledge points to a significant relationship between trauma/adversity and experiencing school discipline that warrants further study and contextualizes expanded adversities, including poverty and racism as adversity. We believe this is necessary to acknowledging the hidden and unaddressed trauma among students being disproportionally disciplined, leading to a greater understanding of student lives, and evidence-based, trauma-informed, and culturally attuned discipline.” Trauma</w:t>
      </w:r>
      <w:r w:rsidR="00F43ED7">
        <w:rPr>
          <w:rStyle w:val="normaltextrun"/>
          <w:rFonts w:cstheme="minorHAnsi"/>
        </w:rPr>
        <w:t xml:space="preserve"> responses</w:t>
      </w:r>
      <w:r w:rsidRPr="00BA38C2">
        <w:rPr>
          <w:rStyle w:val="normaltextrun"/>
          <w:rFonts w:cstheme="minorHAnsi"/>
        </w:rPr>
        <w:t xml:space="preserve"> </w:t>
      </w:r>
      <w:r w:rsidR="000415DA">
        <w:rPr>
          <w:rStyle w:val="normaltextrun"/>
          <w:rFonts w:cstheme="minorHAnsi"/>
        </w:rPr>
        <w:t xml:space="preserve">can </w:t>
      </w:r>
      <w:r w:rsidRPr="00BA38C2">
        <w:rPr>
          <w:rStyle w:val="normaltextrun"/>
          <w:rFonts w:cstheme="minorHAnsi"/>
        </w:rPr>
        <w:t xml:space="preserve">negatively affect a student’s school performance by reducing </w:t>
      </w:r>
      <w:r w:rsidR="002C18A4">
        <w:rPr>
          <w:rStyle w:val="normaltextrun"/>
          <w:rFonts w:cstheme="minorHAnsi"/>
        </w:rPr>
        <w:t xml:space="preserve">the student’s </w:t>
      </w:r>
      <w:r w:rsidRPr="00BA38C2">
        <w:rPr>
          <w:rStyle w:val="normaltextrun"/>
          <w:rFonts w:cstheme="minorHAnsi"/>
        </w:rPr>
        <w:t>tolerance</w:t>
      </w:r>
      <w:r w:rsidR="002C18A4">
        <w:rPr>
          <w:rStyle w:val="normaltextrun"/>
          <w:rFonts w:cstheme="minorHAnsi"/>
        </w:rPr>
        <w:t xml:space="preserve"> for frustration</w:t>
      </w:r>
      <w:r w:rsidR="00B5768C">
        <w:rPr>
          <w:rStyle w:val="normaltextrun"/>
          <w:rFonts w:cstheme="minorHAnsi"/>
        </w:rPr>
        <w:t xml:space="preserve"> as well as their </w:t>
      </w:r>
      <w:r w:rsidRPr="00BA38C2">
        <w:rPr>
          <w:rStyle w:val="normaltextrun"/>
          <w:rFonts w:cstheme="minorHAnsi"/>
        </w:rPr>
        <w:t>flexibility and creativity in problem solving, attention, abstract reasoning, and executive functioning skills while increasing anger and noncompliance (Resler, 2017).</w:t>
      </w:r>
      <w:r w:rsidR="0069507A">
        <w:rPr>
          <w:rStyle w:val="normaltextrun"/>
          <w:rFonts w:cstheme="minorHAnsi"/>
        </w:rPr>
        <w:t xml:space="preserve"> </w:t>
      </w:r>
    </w:p>
    <w:p w14:paraId="6F50163A" w14:textId="2177B0D6" w:rsidR="0085463C" w:rsidRPr="00BA38C2" w:rsidRDefault="0085463C" w:rsidP="00647864">
      <w:pPr>
        <w:pStyle w:val="BodyText"/>
        <w:rPr>
          <w:rStyle w:val="eop"/>
          <w:rFonts w:cstheme="minorHAnsi"/>
        </w:rPr>
      </w:pPr>
      <w:r w:rsidRPr="00BA38C2">
        <w:rPr>
          <w:rStyle w:val="normaltextrun"/>
          <w:rFonts w:cstheme="minorHAnsi"/>
        </w:rPr>
        <w:t xml:space="preserve">Dysregulation — </w:t>
      </w:r>
      <w:r w:rsidR="0065754F">
        <w:rPr>
          <w:rStyle w:val="normaltextrun"/>
          <w:rFonts w:cstheme="minorHAnsi"/>
        </w:rPr>
        <w:t>often d</w:t>
      </w:r>
      <w:r w:rsidR="0069507A">
        <w:rPr>
          <w:rStyle w:val="normaltextrun"/>
          <w:rFonts w:cstheme="minorHAnsi"/>
        </w:rPr>
        <w:t xml:space="preserve">escribed as </w:t>
      </w:r>
      <w:r w:rsidRPr="00BA38C2">
        <w:rPr>
          <w:rStyle w:val="normaltextrun"/>
          <w:rFonts w:cstheme="minorHAnsi"/>
        </w:rPr>
        <w:t>the instinct to fight, flight, or freeze — is one of the more common signs of trauma in students, and can easily escalate to a</w:t>
      </w:r>
      <w:r w:rsidRPr="00FB3FAB">
        <w:rPr>
          <w:rStyle w:val="normaltextrun"/>
          <w:rFonts w:cstheme="minorHAnsi"/>
        </w:rPr>
        <w:t xml:space="preserve"> crisis </w:t>
      </w:r>
      <w:r w:rsidRPr="00BA38C2">
        <w:rPr>
          <w:rStyle w:val="normaltextrun"/>
          <w:rFonts w:cstheme="minorHAnsi"/>
        </w:rPr>
        <w:t>without caring, constructive intervention (Center on Positive Behavioral Intervention Supports, 2022).</w:t>
      </w:r>
      <w:r w:rsidR="00C46C9D">
        <w:rPr>
          <w:rStyle w:val="normaltextrun"/>
          <w:rFonts w:cstheme="minorHAnsi"/>
        </w:rPr>
        <w:t xml:space="preserve"> </w:t>
      </w:r>
      <w:r w:rsidR="00485D0F">
        <w:rPr>
          <w:rStyle w:val="normaltextrun"/>
          <w:rFonts w:cstheme="minorHAnsi"/>
        </w:rPr>
        <w:t xml:space="preserve">Other </w:t>
      </w:r>
      <w:r w:rsidR="006E5475">
        <w:rPr>
          <w:rStyle w:val="normaltextrun"/>
          <w:rFonts w:cstheme="minorHAnsi"/>
        </w:rPr>
        <w:t>potential trauma responses that may be observed are fawning (</w:t>
      </w:r>
      <w:r w:rsidR="00CC63A1">
        <w:rPr>
          <w:rStyle w:val="normaltextrun"/>
          <w:rFonts w:cstheme="minorHAnsi"/>
        </w:rPr>
        <w:t>pleasing or appeasing others to avoid conflict)</w:t>
      </w:r>
      <w:r w:rsidR="002B39FE">
        <w:rPr>
          <w:rStyle w:val="normaltextrun"/>
          <w:rFonts w:cstheme="minorHAnsi"/>
        </w:rPr>
        <w:t xml:space="preserve"> and</w:t>
      </w:r>
      <w:r w:rsidR="00CC63A1">
        <w:rPr>
          <w:rStyle w:val="normaltextrun"/>
          <w:rFonts w:cstheme="minorHAnsi"/>
        </w:rPr>
        <w:t xml:space="preserve"> flopping (</w:t>
      </w:r>
      <w:r w:rsidR="007D6C35">
        <w:rPr>
          <w:rStyle w:val="normaltextrun"/>
          <w:rFonts w:cstheme="minorHAnsi"/>
        </w:rPr>
        <w:t>collapsing or shutting down)</w:t>
      </w:r>
      <w:r w:rsidR="00DE5A82">
        <w:rPr>
          <w:rStyle w:val="normaltextrun"/>
          <w:rFonts w:cstheme="minorHAnsi"/>
        </w:rPr>
        <w:t xml:space="preserve"> (Heaney, 2021; Walker, 2013). </w:t>
      </w:r>
      <w:r w:rsidR="006662BB">
        <w:rPr>
          <w:rStyle w:val="normaltextrun"/>
          <w:rFonts w:cstheme="minorHAnsi"/>
        </w:rPr>
        <w:t>Educators may not always know about</w:t>
      </w:r>
      <w:r w:rsidR="00BA6CE3">
        <w:rPr>
          <w:rStyle w:val="normaltextrun"/>
          <w:rFonts w:cstheme="minorHAnsi"/>
        </w:rPr>
        <w:t xml:space="preserve"> </w:t>
      </w:r>
      <w:r w:rsidR="00E8597A">
        <w:rPr>
          <w:rStyle w:val="normaltextrun"/>
          <w:rFonts w:cstheme="minorHAnsi"/>
        </w:rPr>
        <w:t xml:space="preserve">the </w:t>
      </w:r>
      <w:r w:rsidR="000868CA">
        <w:rPr>
          <w:rStyle w:val="normaltextrun"/>
          <w:rFonts w:cstheme="minorHAnsi"/>
        </w:rPr>
        <w:t>specific</w:t>
      </w:r>
      <w:r w:rsidR="00BA6CE3">
        <w:rPr>
          <w:rStyle w:val="normaltextrun"/>
          <w:rFonts w:cstheme="minorHAnsi"/>
        </w:rPr>
        <w:t xml:space="preserve"> </w:t>
      </w:r>
      <w:r w:rsidR="00BA6CE3">
        <w:rPr>
          <w:rStyle w:val="normaltextrun"/>
          <w:rFonts w:cstheme="minorHAnsi"/>
          <w:i/>
          <w:iCs/>
        </w:rPr>
        <w:t>setting events</w:t>
      </w:r>
      <w:r w:rsidR="000868CA">
        <w:rPr>
          <w:rStyle w:val="normaltextrun"/>
          <w:rFonts w:cstheme="minorHAnsi"/>
          <w:i/>
          <w:iCs/>
        </w:rPr>
        <w:t xml:space="preserve"> </w:t>
      </w:r>
      <w:r w:rsidR="000868CA">
        <w:rPr>
          <w:rStyle w:val="normaltextrun"/>
          <w:rFonts w:cstheme="minorHAnsi"/>
        </w:rPr>
        <w:t>(</w:t>
      </w:r>
      <w:r w:rsidR="00C6510B">
        <w:rPr>
          <w:rStyle w:val="normaltextrun"/>
          <w:rFonts w:cstheme="minorHAnsi"/>
        </w:rPr>
        <w:t xml:space="preserve">traumatic events a child experienced </w:t>
      </w:r>
      <w:r w:rsidR="00E8597A">
        <w:rPr>
          <w:rStyle w:val="normaltextrun"/>
          <w:rFonts w:cstheme="minorHAnsi"/>
        </w:rPr>
        <w:t>“</w:t>
      </w:r>
      <w:r w:rsidRPr="00BA38C2">
        <w:rPr>
          <w:rStyle w:val="normaltextrun"/>
          <w:rFonts w:cstheme="minorHAnsi"/>
        </w:rPr>
        <w:t>before the fact</w:t>
      </w:r>
      <w:r w:rsidR="000E544D">
        <w:rPr>
          <w:rStyle w:val="normaltextrun"/>
          <w:rFonts w:cstheme="minorHAnsi"/>
        </w:rPr>
        <w:t>”</w:t>
      </w:r>
      <w:r w:rsidRPr="00BA38C2">
        <w:rPr>
          <w:rStyle w:val="normaltextrun"/>
          <w:rFonts w:cstheme="minorHAnsi"/>
        </w:rPr>
        <w:t xml:space="preserve">) and </w:t>
      </w:r>
      <w:r w:rsidRPr="000868CA">
        <w:rPr>
          <w:rStyle w:val="normaltextrun"/>
          <w:rFonts w:cstheme="minorHAnsi"/>
          <w:i/>
          <w:iCs/>
        </w:rPr>
        <w:t>triggers</w:t>
      </w:r>
      <w:r w:rsidRPr="00BA38C2">
        <w:rPr>
          <w:rStyle w:val="normaltextrun"/>
          <w:rFonts w:cstheme="minorHAnsi"/>
        </w:rPr>
        <w:t xml:space="preserve"> (real-time environmental cues)</w:t>
      </w:r>
      <w:r w:rsidR="000E544D">
        <w:rPr>
          <w:rStyle w:val="normaltextrun"/>
          <w:rFonts w:cstheme="minorHAnsi"/>
        </w:rPr>
        <w:t xml:space="preserve"> </w:t>
      </w:r>
      <w:r w:rsidR="00186291">
        <w:rPr>
          <w:rStyle w:val="normaltextrun"/>
          <w:rFonts w:cstheme="minorHAnsi"/>
        </w:rPr>
        <w:t>that</w:t>
      </w:r>
      <w:r w:rsidR="006C13C4">
        <w:rPr>
          <w:rStyle w:val="normaltextrun"/>
          <w:rFonts w:cstheme="minorHAnsi"/>
        </w:rPr>
        <w:t xml:space="preserve"> may influence a child’s behavior. </w:t>
      </w:r>
      <w:r w:rsidR="000E544D">
        <w:rPr>
          <w:rStyle w:val="normaltextrun"/>
          <w:rFonts w:cstheme="minorHAnsi"/>
        </w:rPr>
        <w:t xml:space="preserve">However, understanding trauma and trauma possible responses can help </w:t>
      </w:r>
      <w:r w:rsidRPr="00BA38C2">
        <w:rPr>
          <w:rStyle w:val="normaltextrun"/>
          <w:rFonts w:cstheme="minorHAnsi"/>
        </w:rPr>
        <w:t>educator</w:t>
      </w:r>
      <w:r w:rsidR="00FF7148">
        <w:rPr>
          <w:rStyle w:val="normaltextrun"/>
          <w:rFonts w:cstheme="minorHAnsi"/>
        </w:rPr>
        <w:t>s</w:t>
      </w:r>
      <w:r w:rsidRPr="00BA38C2">
        <w:rPr>
          <w:rStyle w:val="normaltextrun"/>
          <w:rFonts w:cstheme="minorHAnsi"/>
        </w:rPr>
        <w:t xml:space="preserve"> </w:t>
      </w:r>
      <w:r w:rsidR="00070D89">
        <w:rPr>
          <w:rStyle w:val="normaltextrun"/>
          <w:rFonts w:cstheme="minorHAnsi"/>
        </w:rPr>
        <w:t xml:space="preserve">recognize </w:t>
      </w:r>
      <w:r w:rsidR="00E32244">
        <w:rPr>
          <w:rStyle w:val="normaltextrun"/>
          <w:rFonts w:cstheme="minorHAnsi"/>
        </w:rPr>
        <w:t xml:space="preserve">the signs of </w:t>
      </w:r>
      <w:r w:rsidR="00A9001C">
        <w:rPr>
          <w:rStyle w:val="normaltextrun"/>
          <w:rFonts w:cstheme="minorHAnsi"/>
        </w:rPr>
        <w:t xml:space="preserve">possible trauma that may underlie </w:t>
      </w:r>
      <w:r w:rsidR="00FF7148">
        <w:rPr>
          <w:rStyle w:val="normaltextrun"/>
          <w:rFonts w:cstheme="minorHAnsi"/>
        </w:rPr>
        <w:t>student behavior</w:t>
      </w:r>
      <w:r w:rsidR="00D65182">
        <w:rPr>
          <w:rStyle w:val="normaltextrun"/>
          <w:rFonts w:cstheme="minorHAnsi"/>
        </w:rPr>
        <w:t xml:space="preserve">, </w:t>
      </w:r>
      <w:r w:rsidR="006443ED">
        <w:rPr>
          <w:rStyle w:val="normaltextrun"/>
          <w:rFonts w:cstheme="minorHAnsi"/>
        </w:rPr>
        <w:t xml:space="preserve">respond appropriately, </w:t>
      </w:r>
      <w:r w:rsidR="00FF7148">
        <w:rPr>
          <w:rStyle w:val="normaltextrun"/>
          <w:rFonts w:cstheme="minorHAnsi"/>
        </w:rPr>
        <w:t>and potentially avoid or diffuse a crisis</w:t>
      </w:r>
      <w:r w:rsidRPr="00BA38C2">
        <w:rPr>
          <w:rStyle w:val="normaltextrun"/>
          <w:rFonts w:cstheme="minorHAnsi"/>
        </w:rPr>
        <w:t xml:space="preserve"> (Iovannone et al., 2017).</w:t>
      </w:r>
      <w:r w:rsidRPr="00BA38C2">
        <w:rPr>
          <w:rStyle w:val="eop"/>
          <w:rFonts w:cstheme="minorHAnsi"/>
        </w:rPr>
        <w:t> </w:t>
      </w:r>
    </w:p>
    <w:p w14:paraId="40B10DD7" w14:textId="3AEED253" w:rsidR="000F7575" w:rsidRDefault="0085463C" w:rsidP="00647864">
      <w:pPr>
        <w:pStyle w:val="BodyText"/>
        <w:rPr>
          <w:rStyle w:val="eop"/>
          <w:rFonts w:cstheme="minorHAnsi"/>
        </w:rPr>
      </w:pPr>
      <w:r w:rsidRPr="00BA38C2">
        <w:rPr>
          <w:rStyle w:val="normaltextrun"/>
          <w:rFonts w:cstheme="minorHAnsi"/>
        </w:rPr>
        <w:lastRenderedPageBreak/>
        <w:t>Unfortunately, in light of the disruptiveness of these signs of trauma, many trauma-exposed students are punitively disciplined in school (Ablon &amp; Pollastri, 2018). Given the indisputable impact of the pandemic on exposure to adverse events (trauma) and broadly on students’ mental health (Li, 2022), evidenced-based policies and practices that support student mental wellness and, by extension, positive student behavior, is critical</w:t>
      </w:r>
      <w:r w:rsidR="00C21C22">
        <w:rPr>
          <w:rStyle w:val="normaltextrun"/>
          <w:rFonts w:cstheme="minorHAnsi"/>
        </w:rPr>
        <w:t xml:space="preserve"> across all education settings</w:t>
      </w:r>
      <w:r w:rsidRPr="00BA38C2">
        <w:rPr>
          <w:rStyle w:val="normaltextrun"/>
          <w:rFonts w:cstheme="minorHAnsi"/>
        </w:rPr>
        <w:t>.</w:t>
      </w:r>
      <w:r w:rsidRPr="00BA38C2">
        <w:rPr>
          <w:rStyle w:val="eop"/>
          <w:rFonts w:cstheme="minorHAnsi"/>
        </w:rPr>
        <w:t> </w:t>
      </w:r>
    </w:p>
    <w:p w14:paraId="438CAF4E" w14:textId="03CACF12" w:rsidR="00B0411B" w:rsidRPr="00647864" w:rsidRDefault="0085463C" w:rsidP="00647864">
      <w:pPr>
        <w:pStyle w:val="BodyText"/>
        <w:rPr>
          <w:rStyle w:val="eop"/>
          <w:rFonts w:cstheme="minorHAnsi"/>
        </w:rPr>
      </w:pPr>
      <w:r w:rsidRPr="00BA38C2">
        <w:rPr>
          <w:rStyle w:val="normaltextrun"/>
          <w:rFonts w:cstheme="minorHAnsi"/>
        </w:rPr>
        <w:t>Educators should be aware that efforts to manage their own response to navigating complex circumstances around children with trauma can potentially result in secondary traumatic stress (Hydon et al., 2015). Personal steps should be taken to address signs such as fatigue or illness, cynicism, irritability, reduced productivity, feelings of hopelessness, anger, despair, sadness, nightmares, anxiety, or avoidance of people or activities (National Child Traumatic Stress Network, n.d.).</w:t>
      </w:r>
      <w:r w:rsidRPr="00BA38C2">
        <w:rPr>
          <w:rStyle w:val="eop"/>
          <w:rFonts w:cstheme="minorHAnsi"/>
        </w:rPr>
        <w:t> </w:t>
      </w:r>
      <w:r w:rsidRPr="00BA38C2">
        <w:rPr>
          <w:rStyle w:val="normaltextrun"/>
          <w:rFonts w:cstheme="minorHAnsi"/>
        </w:rPr>
        <w:t> </w:t>
      </w:r>
      <w:r w:rsidRPr="00BA38C2">
        <w:rPr>
          <w:rStyle w:val="eop"/>
          <w:rFonts w:cstheme="minorHAnsi"/>
        </w:rPr>
        <w:t> </w:t>
      </w:r>
    </w:p>
    <w:p w14:paraId="3D6858A5" w14:textId="33CD9152" w:rsidR="00FE6452" w:rsidRDefault="00C73563" w:rsidP="00647864">
      <w:pPr>
        <w:pStyle w:val="Heading1"/>
      </w:pPr>
      <w:r w:rsidRPr="00C73563">
        <w:t>Understanding Behavior to Guide Better Outcomes </w:t>
      </w:r>
    </w:p>
    <w:p w14:paraId="6CAB9534" w14:textId="5DADC265" w:rsidR="000F7575" w:rsidRDefault="000F7575" w:rsidP="00E616AF">
      <w:pPr>
        <w:pStyle w:val="paragraph"/>
        <w:spacing w:before="0" w:beforeAutospacing="0" w:after="0" w:afterAutospacing="0"/>
        <w:textAlignment w:val="baseline"/>
        <w:rPr>
          <w:rFonts w:ascii="Cambria" w:hAnsi="Cambria" w:cs="Segoe UI"/>
        </w:rPr>
      </w:pPr>
      <w:r w:rsidRPr="000F7575">
        <w:rPr>
          <w:rFonts w:ascii="Cambria" w:hAnsi="Cambria" w:cs="Segoe UI"/>
        </w:rPr>
        <w:t>Providing educators with a contemporary lens onto the fundamentals of behavior (National Center on Intensive Intervention [NCII], n.d.) can empower them to navigate complex scenarios. Educators are encouraged to view “behavior” simply as actions or events that can be observed or measured, and to resist the natural instinct to pass judgment on those actions or events. Behavior is a form of communication, and undesired behavior from a student might serve one of four functions: attention, escape, access to tangibles, or sensory stimulation (KNILT). Reflecting objectively on which of these functions a child is seeking — whether consciously or subconsciously — to communicate to the adults around them is a key element to guiding them to a more positive behavior choice.  </w:t>
      </w:r>
    </w:p>
    <w:p w14:paraId="3A97811E" w14:textId="03443731" w:rsidR="008412B8" w:rsidRDefault="0087253B" w:rsidP="00F16A9A">
      <w:pPr>
        <w:pStyle w:val="Heading1"/>
      </w:pPr>
      <w:bookmarkStart w:id="3" w:name="_Hlk159324859"/>
      <w:r w:rsidRPr="0087253B">
        <w:t>The Role of Bias in Perceiving Student Behavior </w:t>
      </w:r>
    </w:p>
    <w:bookmarkEnd w:id="3"/>
    <w:p w14:paraId="2C2C6458" w14:textId="3D1BC6A1" w:rsidR="0005110E" w:rsidRPr="0005110E" w:rsidRDefault="006D029E" w:rsidP="009673B1">
      <w:pPr>
        <w:pStyle w:val="paragraph"/>
        <w:spacing w:before="0" w:beforeAutospacing="0" w:after="120" w:afterAutospacing="0"/>
        <w:textAlignment w:val="baseline"/>
        <w:rPr>
          <w:rFonts w:ascii="Cambria" w:hAnsi="Cambria" w:cs="Segoe UI"/>
        </w:rPr>
      </w:pPr>
      <w:r w:rsidRPr="006D029E">
        <w:rPr>
          <w:rFonts w:ascii="Cambria" w:hAnsi="Cambria" w:cs="Segoe UI"/>
        </w:rPr>
        <w:t xml:space="preserve">Educators can best serve their students when they reflect on their own internal, emotional response and consider the impact it has on their approach in addressing concerning behaviors. </w:t>
      </w:r>
      <w:r w:rsidRPr="006D029E">
        <w:rPr>
          <w:rFonts w:ascii="Cambria" w:hAnsi="Cambria" w:cs="Segoe UI"/>
          <w:i/>
          <w:iCs/>
        </w:rPr>
        <w:t>Explicit biases</w:t>
      </w:r>
      <w:r w:rsidRPr="006D029E">
        <w:rPr>
          <w:rFonts w:ascii="Cambria" w:hAnsi="Cambria" w:cs="Segoe UI"/>
        </w:rPr>
        <w:t xml:space="preserve"> include beliefs, prejudices, and attitudes about individuals and groups and can cause us to make instant — but not necessarily accurate — judgments, and to enact preferential treatment </w:t>
      </w:r>
      <w:r w:rsidR="009673B1">
        <w:rPr>
          <w:rFonts w:ascii="Cambria" w:hAnsi="Cambria" w:cs="Segoe UI"/>
        </w:rPr>
        <w:t>(</w:t>
      </w:r>
      <w:proofErr w:type="spellStart"/>
      <w:r w:rsidR="009673B1" w:rsidRPr="00A84AAD">
        <w:rPr>
          <w:rFonts w:ascii="Cambria" w:hAnsi="Cambria" w:cs="Arial"/>
          <w:color w:val="000000" w:themeColor="text1"/>
          <w:shd w:val="clear" w:color="auto" w:fill="FFFFFF"/>
        </w:rPr>
        <w:t>Daumeyer</w:t>
      </w:r>
      <w:proofErr w:type="spellEnd"/>
      <w:r w:rsidR="009673B1" w:rsidRPr="00A84AAD">
        <w:rPr>
          <w:rFonts w:ascii="Cambria" w:hAnsi="Cambria" w:cs="Arial"/>
          <w:color w:val="000000" w:themeColor="text1"/>
          <w:shd w:val="clear" w:color="auto" w:fill="FFFFFF"/>
        </w:rPr>
        <w:t xml:space="preserve">, </w:t>
      </w:r>
      <w:proofErr w:type="spellStart"/>
      <w:r w:rsidR="009673B1" w:rsidRPr="00A84AAD">
        <w:rPr>
          <w:rFonts w:ascii="Cambria" w:hAnsi="Cambria" w:cs="Arial"/>
          <w:color w:val="000000" w:themeColor="text1"/>
          <w:shd w:val="clear" w:color="auto" w:fill="FFFFFF"/>
        </w:rPr>
        <w:t>Onyeador</w:t>
      </w:r>
      <w:proofErr w:type="spellEnd"/>
      <w:r w:rsidR="009673B1" w:rsidRPr="00A84AAD">
        <w:rPr>
          <w:rFonts w:ascii="Cambria" w:hAnsi="Cambria" w:cs="Arial"/>
          <w:color w:val="000000" w:themeColor="text1"/>
          <w:shd w:val="clear" w:color="auto" w:fill="FFFFFF"/>
        </w:rPr>
        <w:t>, Brown, &amp; Richeson</w:t>
      </w:r>
      <w:r w:rsidR="009673B1">
        <w:rPr>
          <w:rFonts w:ascii="Cambria" w:hAnsi="Cambria" w:cs="Arial"/>
          <w:color w:val="000000" w:themeColor="text1"/>
          <w:shd w:val="clear" w:color="auto" w:fill="FFFFFF"/>
        </w:rPr>
        <w:t xml:space="preserve">, 2019). </w:t>
      </w:r>
      <w:r w:rsidRPr="006D029E">
        <w:rPr>
          <w:rFonts w:ascii="Cambria" w:hAnsi="Cambria" w:cs="Segoe UI"/>
        </w:rPr>
        <w:t xml:space="preserve">Even more insidious, </w:t>
      </w:r>
      <w:r w:rsidRPr="006D029E">
        <w:rPr>
          <w:rFonts w:ascii="Cambria" w:hAnsi="Cambria" w:cs="Segoe UI"/>
          <w:i/>
          <w:iCs/>
        </w:rPr>
        <w:t>implicit biases</w:t>
      </w:r>
      <w:r w:rsidRPr="006D029E">
        <w:rPr>
          <w:rFonts w:ascii="Cambria" w:hAnsi="Cambria" w:cs="Segoe UI"/>
        </w:rPr>
        <w:t xml:space="preserve"> that we all hold escape our awareness and require intentional work to overcome. </w:t>
      </w:r>
      <w:r w:rsidR="00827792">
        <w:rPr>
          <w:rFonts w:ascii="Cambria" w:hAnsi="Cambria" w:cs="Segoe UI"/>
        </w:rPr>
        <w:t xml:space="preserve">Unconscious biases may result </w:t>
      </w:r>
      <w:r w:rsidR="001C6695">
        <w:rPr>
          <w:rFonts w:ascii="Cambria" w:hAnsi="Cambria" w:cs="Segoe UI"/>
        </w:rPr>
        <w:t xml:space="preserve">the loss of opportunities to improve educational outcomes </w:t>
      </w:r>
      <w:r w:rsidR="00F06D49">
        <w:rPr>
          <w:rFonts w:ascii="Cambria" w:hAnsi="Cambria" w:cs="Segoe UI"/>
        </w:rPr>
        <w:t>if e</w:t>
      </w:r>
      <w:r w:rsidRPr="006D029E">
        <w:rPr>
          <w:rFonts w:ascii="Cambria" w:hAnsi="Cambria" w:cs="Segoe UI"/>
        </w:rPr>
        <w:t>ducators come to expect less of students of a particular demographic or behavior profile” (</w:t>
      </w:r>
      <w:r w:rsidR="00326984" w:rsidRPr="00662F77">
        <w:rPr>
          <w:rStyle w:val="field-content"/>
          <w:rFonts w:ascii="Cambria" w:hAnsi="Cambria"/>
          <w:color w:val="333333"/>
          <w:shd w:val="clear" w:color="auto" w:fill="FFFFFF"/>
        </w:rPr>
        <w:t>Dee &amp; Gershenson</w:t>
      </w:r>
      <w:r w:rsidR="00326984">
        <w:rPr>
          <w:rStyle w:val="field-content"/>
          <w:rFonts w:ascii="Cambria" w:hAnsi="Cambria"/>
          <w:color w:val="333333"/>
          <w:shd w:val="clear" w:color="auto" w:fill="FFFFFF"/>
        </w:rPr>
        <w:t>, 2019).</w:t>
      </w:r>
      <w:r w:rsidRPr="006D029E">
        <w:rPr>
          <w:rFonts w:ascii="Cambria" w:hAnsi="Cambria" w:cs="Segoe UI"/>
        </w:rPr>
        <w:t xml:space="preserve"> Uncovering of these biases can be achieved using the Implicit Association Test (Harvard Education</w:t>
      </w:r>
      <w:r w:rsidR="00A92C5B">
        <w:rPr>
          <w:rFonts w:ascii="Cambria" w:hAnsi="Cambria" w:cs="Segoe UI"/>
        </w:rPr>
        <w:t>, n.d.</w:t>
      </w:r>
      <w:r w:rsidRPr="006D029E">
        <w:rPr>
          <w:rFonts w:ascii="Cambria" w:hAnsi="Cambria" w:cs="Segoe UI"/>
        </w:rPr>
        <w:t>). This exercise supports better self-understanding, which will inform more equitable teaching strategies and practices around guiding positive student behavior (Yale Poorvu Center</w:t>
      </w:r>
      <w:r w:rsidR="00AF3A23">
        <w:rPr>
          <w:rFonts w:ascii="Cambria" w:hAnsi="Cambria" w:cs="Segoe UI"/>
        </w:rPr>
        <w:t xml:space="preserve"> for Teaching and Learning</w:t>
      </w:r>
      <w:r w:rsidR="00B11CD7">
        <w:rPr>
          <w:rFonts w:ascii="Cambria" w:hAnsi="Cambria" w:cs="Segoe UI"/>
        </w:rPr>
        <w:t>, 2017</w:t>
      </w:r>
      <w:r w:rsidRPr="006D029E">
        <w:rPr>
          <w:rFonts w:ascii="Cambria" w:hAnsi="Cambria" w:cs="Segoe UI"/>
        </w:rPr>
        <w:t>).  </w:t>
      </w:r>
    </w:p>
    <w:p w14:paraId="00251E04" w14:textId="22FF518D" w:rsidR="00465F83" w:rsidRDefault="00B15FC1" w:rsidP="00F16A9A">
      <w:pPr>
        <w:pStyle w:val="Heading1"/>
      </w:pPr>
      <w:bookmarkStart w:id="4" w:name="_Hlk159325015"/>
      <w:r w:rsidRPr="00B15FC1">
        <w:t>Proactively Guiding Positive Student Behavior</w:t>
      </w:r>
    </w:p>
    <w:bookmarkEnd w:id="4"/>
    <w:p w14:paraId="7538357E" w14:textId="196C8FFA" w:rsidR="008A7091" w:rsidRDefault="008A7091" w:rsidP="008A7091">
      <w:pPr>
        <w:pStyle w:val="paragraph"/>
        <w:spacing w:before="0" w:beforeAutospacing="0" w:after="0" w:afterAutospacing="0"/>
        <w:textAlignment w:val="baseline"/>
        <w:rPr>
          <w:rStyle w:val="eop"/>
          <w:rFonts w:ascii="Cambria" w:hAnsi="Cambria" w:cs="Segoe UI"/>
        </w:rPr>
      </w:pPr>
      <w:r>
        <w:rPr>
          <w:rStyle w:val="normaltextrun"/>
          <w:rFonts w:ascii="Cambria" w:hAnsi="Cambria" w:cs="Segoe UI"/>
        </w:rPr>
        <w:t>Proactively helping students recognize and manage their emotions is more likely to lead to positive outcomes than using punitive consequences to force the behavior you want to see. “Co</w:t>
      </w:r>
      <w:r w:rsidR="00D26721">
        <w:rPr>
          <w:rStyle w:val="normaltextrun"/>
          <w:rFonts w:ascii="Cambria" w:hAnsi="Cambria" w:cs="Segoe UI"/>
        </w:rPr>
        <w:noBreakHyphen/>
      </w:r>
      <w:r>
        <w:rPr>
          <w:rStyle w:val="normaltextrun"/>
          <w:rFonts w:ascii="Cambria" w:hAnsi="Cambria" w:cs="Segoe UI"/>
        </w:rPr>
        <w:t>regulation” allows an adult to draw from their own measured emotions to help a student struggling with self-management (Center on Positive Behavioral Intervention Supports, 2022). Years of analysis have also revealed behavior-specific praise (BSP) to be a powerful tool in an educational setting for driving best choices among students (</w:t>
      </w:r>
      <w:proofErr w:type="spellStart"/>
      <w:r>
        <w:rPr>
          <w:rStyle w:val="normaltextrun"/>
          <w:rFonts w:ascii="Cambria" w:hAnsi="Cambria" w:cs="Segoe UI"/>
        </w:rPr>
        <w:t>DeFlitch</w:t>
      </w:r>
      <w:proofErr w:type="spellEnd"/>
      <w:r w:rsidR="006C0CEF">
        <w:rPr>
          <w:rStyle w:val="normaltextrun"/>
          <w:rFonts w:ascii="Cambria" w:hAnsi="Cambria" w:cs="Segoe UI"/>
        </w:rPr>
        <w:t>, n.d.</w:t>
      </w:r>
      <w:r>
        <w:rPr>
          <w:rStyle w:val="normaltextrun"/>
          <w:rFonts w:ascii="Cambria" w:hAnsi="Cambria" w:cs="Segoe UI"/>
        </w:rPr>
        <w:t xml:space="preserve">) “BSP occurs when a </w:t>
      </w:r>
      <w:r>
        <w:rPr>
          <w:rStyle w:val="normaltextrun"/>
          <w:rFonts w:ascii="Cambria" w:hAnsi="Cambria" w:cs="Segoe UI"/>
        </w:rPr>
        <w:lastRenderedPageBreak/>
        <w:t>teacher observes particular student behavior and compliments the student for the appropriate response with the intent that students will continue to engage in the appropriate behavior.” (Ennis et al</w:t>
      </w:r>
      <w:r w:rsidR="00D5104F">
        <w:rPr>
          <w:rStyle w:val="normaltextrun"/>
          <w:rFonts w:ascii="Cambria" w:hAnsi="Cambria" w:cs="Segoe UI"/>
        </w:rPr>
        <w:t>.</w:t>
      </w:r>
      <w:r>
        <w:rPr>
          <w:rStyle w:val="normaltextrun"/>
          <w:rFonts w:ascii="Cambria" w:hAnsi="Cambria" w:cs="Segoe UI"/>
        </w:rPr>
        <w:t>, 2018). The simple practice of generously timed breaks</w:t>
      </w:r>
      <w:r w:rsidR="006C0CEF">
        <w:rPr>
          <w:rStyle w:val="normaltextrun"/>
          <w:rFonts w:ascii="Cambria" w:hAnsi="Cambria" w:cs="Segoe UI"/>
        </w:rPr>
        <w:t xml:space="preserve"> — </w:t>
      </w:r>
      <w:r>
        <w:rPr>
          <w:rStyle w:val="normaltextrun"/>
          <w:rFonts w:ascii="Cambria" w:hAnsi="Cambria" w:cs="Segoe UI"/>
        </w:rPr>
        <w:t>encouraging students to move their bodies mid</w:t>
      </w:r>
      <w:r w:rsidR="00C56044">
        <w:rPr>
          <w:rStyle w:val="normaltextrun"/>
          <w:rFonts w:ascii="Cambria" w:hAnsi="Cambria" w:cs="Segoe UI"/>
        </w:rPr>
        <w:t>-</w:t>
      </w:r>
      <w:r>
        <w:rPr>
          <w:rStyle w:val="normaltextrun"/>
          <w:rFonts w:ascii="Cambria" w:hAnsi="Cambria" w:cs="Segoe UI"/>
        </w:rPr>
        <w:t xml:space="preserve">activity </w:t>
      </w:r>
      <w:r w:rsidR="006C0CEF">
        <w:rPr>
          <w:rStyle w:val="normaltextrun"/>
          <w:rFonts w:ascii="Cambria" w:hAnsi="Cambria" w:cs="Segoe UI"/>
        </w:rPr>
        <w:t>—</w:t>
      </w:r>
      <w:r>
        <w:rPr>
          <w:rStyle w:val="normaltextrun"/>
          <w:rFonts w:ascii="Cambria" w:hAnsi="Cambria" w:cs="Segoe UI"/>
        </w:rPr>
        <w:t xml:space="preserve"> is a well-documented method that benefits students by improving their concentration and ability to stay on-task in the classroom, reduce disruptive behavior such as fidgeting, improve motivation, and engage in the learning process (CDC Healthy Schools). </w:t>
      </w:r>
      <w:r w:rsidR="003E6C98">
        <w:rPr>
          <w:rStyle w:val="normaltextrun"/>
          <w:rFonts w:ascii="Cambria" w:hAnsi="Cambria" w:cs="Segoe UI"/>
        </w:rPr>
        <w:t>Also, f</w:t>
      </w:r>
      <w:r>
        <w:rPr>
          <w:rStyle w:val="normaltextrun"/>
          <w:rFonts w:ascii="Cambria" w:hAnsi="Cambria" w:cs="Segoe UI"/>
        </w:rPr>
        <w:t xml:space="preserve">amilies can be an important partner in introducing positive behavior initiatives, and communicating program expectations </w:t>
      </w:r>
      <w:r>
        <w:rPr>
          <w:rStyle w:val="normaltextrun"/>
          <w:rFonts w:ascii="Cambria" w:hAnsi="Cambria" w:cs="Segoe UI"/>
          <w:i/>
          <w:iCs/>
        </w:rPr>
        <w:t>proactively</w:t>
      </w:r>
      <w:r>
        <w:rPr>
          <w:rStyle w:val="normaltextrun"/>
          <w:rFonts w:ascii="Cambria" w:hAnsi="Cambria" w:cs="Segoe UI"/>
        </w:rPr>
        <w:t xml:space="preserve"> is shown to help guide positive behavior outcomes (</w:t>
      </w:r>
      <w:r w:rsidR="003E6C98" w:rsidRPr="00B470D8">
        <w:rPr>
          <w:rStyle w:val="A1"/>
          <w:rFonts w:ascii="Cambria" w:hAnsi="Cambria"/>
          <w:sz w:val="24"/>
          <w:szCs w:val="24"/>
        </w:rPr>
        <w:t>Epstein</w:t>
      </w:r>
      <w:r w:rsidR="003E6C98">
        <w:rPr>
          <w:rStyle w:val="A1"/>
          <w:rFonts w:ascii="Cambria" w:hAnsi="Cambria"/>
          <w:sz w:val="24"/>
          <w:szCs w:val="24"/>
        </w:rPr>
        <w:t xml:space="preserve"> et al., 2008; </w:t>
      </w:r>
      <w:r>
        <w:rPr>
          <w:rStyle w:val="normaltextrun"/>
          <w:rFonts w:ascii="Cambria" w:hAnsi="Cambria" w:cs="Segoe UI"/>
        </w:rPr>
        <w:t>Garbacz et al</w:t>
      </w:r>
      <w:r w:rsidR="00D5104F">
        <w:rPr>
          <w:rStyle w:val="normaltextrun"/>
          <w:rFonts w:ascii="Cambria" w:hAnsi="Cambria" w:cs="Segoe UI"/>
        </w:rPr>
        <w:t>.</w:t>
      </w:r>
      <w:r>
        <w:rPr>
          <w:rStyle w:val="normaltextrun"/>
          <w:rFonts w:ascii="Cambria" w:hAnsi="Cambria" w:cs="Segoe UI"/>
        </w:rPr>
        <w:t>, 2015).</w:t>
      </w:r>
      <w:r>
        <w:rPr>
          <w:rStyle w:val="eop"/>
          <w:rFonts w:ascii="Cambria" w:hAnsi="Cambria" w:cs="Segoe UI"/>
        </w:rPr>
        <w:t> </w:t>
      </w:r>
    </w:p>
    <w:p w14:paraId="2D871057" w14:textId="1779C839" w:rsidR="008A7091" w:rsidRDefault="003329D3" w:rsidP="00F16A9A">
      <w:pPr>
        <w:pStyle w:val="Heading1"/>
      </w:pPr>
      <w:bookmarkStart w:id="5" w:name="_Hlk159325089"/>
      <w:r w:rsidRPr="003329D3">
        <w:t>Building Relationships </w:t>
      </w:r>
    </w:p>
    <w:bookmarkEnd w:id="5"/>
    <w:p w14:paraId="33937C19" w14:textId="6A95D305" w:rsidR="003329D3" w:rsidRPr="003329D3" w:rsidRDefault="003329D3" w:rsidP="003329D3">
      <w:pPr>
        <w:pStyle w:val="BodyText"/>
        <w:rPr>
          <w:rFonts w:eastAsia="Times New Roman" w:cs="Segoe UI"/>
          <w14:ligatures w14:val="none"/>
        </w:rPr>
      </w:pPr>
      <w:r w:rsidRPr="003329D3">
        <w:rPr>
          <w:rFonts w:eastAsia="Times New Roman" w:cs="Segoe UI"/>
          <w14:ligatures w14:val="none"/>
        </w:rPr>
        <w:t>Developing strong OST educator-student relationships serves many critical functions throughout the lives of students. Research underscores this importance when it comes to guiding positive behavior, both proactively and reactively. A 2022 longitudinal study (Valdebenito et al</w:t>
      </w:r>
      <w:r w:rsidR="00E42251">
        <w:rPr>
          <w:rFonts w:eastAsia="Times New Roman" w:cs="Segoe UI"/>
          <w14:ligatures w14:val="none"/>
        </w:rPr>
        <w:t>.</w:t>
      </w:r>
      <w:r w:rsidR="00D608CE">
        <w:rPr>
          <w:rFonts w:eastAsia="Times New Roman" w:cs="Segoe UI"/>
          <w14:ligatures w14:val="none"/>
        </w:rPr>
        <w:t>, 2022</w:t>
      </w:r>
      <w:r w:rsidRPr="003329D3">
        <w:rPr>
          <w:rFonts w:eastAsia="Times New Roman" w:cs="Segoe UI"/>
          <w14:ligatures w14:val="none"/>
        </w:rPr>
        <w:t xml:space="preserve">) found that strong educator-student relationships were associated with reduced teacher-reported oppositional behavior fully two years after forming those bonds. Rimm-Kaufman and </w:t>
      </w:r>
      <w:proofErr w:type="spellStart"/>
      <w:r w:rsidRPr="003329D3">
        <w:rPr>
          <w:rFonts w:eastAsia="Times New Roman" w:cs="Segoe UI"/>
          <w14:ligatures w14:val="none"/>
        </w:rPr>
        <w:t>Sandilos</w:t>
      </w:r>
      <w:proofErr w:type="spellEnd"/>
      <w:r w:rsidRPr="003329D3">
        <w:rPr>
          <w:rFonts w:eastAsia="Times New Roman" w:cs="Segoe UI"/>
          <w14:ligatures w14:val="none"/>
        </w:rPr>
        <w:t xml:space="preserve"> (2023) </w:t>
      </w:r>
      <w:bookmarkStart w:id="6" w:name="_Hlk159325193"/>
      <w:r w:rsidRPr="003329D3">
        <w:rPr>
          <w:rFonts w:eastAsia="Times New Roman" w:cs="Segoe UI"/>
          <w14:ligatures w14:val="none"/>
        </w:rPr>
        <w:t>cite examples of simple everyday practices educators can implement to ensure stronger relationships, including:  </w:t>
      </w:r>
    </w:p>
    <w:p w14:paraId="3C0C8959" w14:textId="77777777" w:rsidR="003329D3" w:rsidRPr="003329D3" w:rsidRDefault="003329D3" w:rsidP="00396C66">
      <w:pPr>
        <w:pStyle w:val="Bulletedlist"/>
      </w:pPr>
      <w:r w:rsidRPr="003329D3">
        <w:t>Show your pleasure and enjoyment of students. </w:t>
      </w:r>
    </w:p>
    <w:p w14:paraId="47FDF2FF" w14:textId="77777777" w:rsidR="003329D3" w:rsidRPr="003329D3" w:rsidRDefault="003329D3" w:rsidP="00396C66">
      <w:pPr>
        <w:pStyle w:val="Bulletedlist"/>
      </w:pPr>
      <w:r w:rsidRPr="003329D3">
        <w:t>Interact with students in a responsive and respectful manner. </w:t>
      </w:r>
    </w:p>
    <w:p w14:paraId="74600E67" w14:textId="77777777" w:rsidR="003329D3" w:rsidRPr="003329D3" w:rsidRDefault="003329D3" w:rsidP="00396C66">
      <w:pPr>
        <w:pStyle w:val="Bulletedlist"/>
      </w:pPr>
      <w:r w:rsidRPr="003329D3">
        <w:t>Offer students help (e.g., answering questions in timely manner, offering support that matches students' needs) in achieving academic and social objectives. </w:t>
      </w:r>
    </w:p>
    <w:p w14:paraId="24158998" w14:textId="77777777" w:rsidR="003329D3" w:rsidRPr="003329D3" w:rsidRDefault="003329D3" w:rsidP="00396C66">
      <w:pPr>
        <w:pStyle w:val="Bulletedlist"/>
      </w:pPr>
      <w:r w:rsidRPr="003329D3">
        <w:t>Help students reflect on their thinking and learning skills. </w:t>
      </w:r>
    </w:p>
    <w:p w14:paraId="694C4F94" w14:textId="77777777" w:rsidR="003329D3" w:rsidRPr="003329D3" w:rsidRDefault="003329D3" w:rsidP="00396C66">
      <w:pPr>
        <w:pStyle w:val="Bulletedlist"/>
      </w:pPr>
      <w:r w:rsidRPr="003329D3">
        <w:t>Know and demonstrate knowledge about individual students' backgrounds, interests, emotional strengths and academic levels. </w:t>
      </w:r>
    </w:p>
    <w:bookmarkEnd w:id="6"/>
    <w:p w14:paraId="2F95C5EC" w14:textId="77777777" w:rsidR="003329D3" w:rsidRPr="003329D3" w:rsidRDefault="003329D3" w:rsidP="00396C66">
      <w:pPr>
        <w:pStyle w:val="Bulletedlist"/>
      </w:pPr>
      <w:r w:rsidRPr="003329D3">
        <w:t>Avoid showing irritability or aggravation toward students. </w:t>
      </w:r>
    </w:p>
    <w:p w14:paraId="7284F941" w14:textId="67CA4FC6" w:rsidR="00B86DD0" w:rsidRPr="000C2542" w:rsidRDefault="003329D3" w:rsidP="000C2542">
      <w:pPr>
        <w:pStyle w:val="Bulletedlist"/>
      </w:pPr>
      <w:r w:rsidRPr="003329D3">
        <w:t>Acknowledge the importance of peers in schools by encouraging students to be caring and respectful to one another. </w:t>
      </w:r>
    </w:p>
    <w:p w14:paraId="595487A5" w14:textId="19D08FB8" w:rsidR="007C08A2" w:rsidRDefault="007C08A2" w:rsidP="00F16A9A">
      <w:pPr>
        <w:pStyle w:val="Heading1"/>
      </w:pPr>
      <w:r w:rsidRPr="007C08A2">
        <w:t>Restorative Practices and Restorative Justice </w:t>
      </w:r>
    </w:p>
    <w:p w14:paraId="44D6E222" w14:textId="16A0C733" w:rsidR="00AE4313" w:rsidRDefault="004A70B1" w:rsidP="005040DD">
      <w:pPr>
        <w:pStyle w:val="BodyText"/>
        <w:rPr>
          <w:rFonts w:eastAsia="Times New Roman" w:cs="Segoe UI"/>
          <w14:ligatures w14:val="none"/>
        </w:rPr>
      </w:pPr>
      <w:r w:rsidRPr="004A70B1">
        <w:rPr>
          <w:rFonts w:eastAsia="Times New Roman" w:cs="Segoe UI"/>
          <w14:ligatures w14:val="none"/>
        </w:rPr>
        <w:t>Restorative practices are grounded in social science and have deep roots within Indigenous community peace-making traditions. “Our current system, often responding to harm done in relationships or crimes, asks three questions: (1) What law was broken? (2) Who broke</w:t>
      </w:r>
      <w:r w:rsidR="00F6410E">
        <w:rPr>
          <w:rFonts w:eastAsia="Times New Roman" w:cs="Segoe UI"/>
          <w14:ligatures w14:val="none"/>
        </w:rPr>
        <w:t xml:space="preserve"> </w:t>
      </w:r>
      <w:r w:rsidR="00F6410E" w:rsidRPr="00F6410E">
        <w:rPr>
          <w:rFonts w:eastAsia="Times New Roman" w:cs="Segoe UI"/>
          <w14:ligatures w14:val="none"/>
        </w:rPr>
        <w:t>it?, and (3) What punishment is warranted? Restorative justice asks different questions, focusing on strengthening relationships between individuals and ties to one another in their communities. It asks us: Who was harmed? What are the needs and responsibilities of all affected? How do the parties together address needs and repair harm?” (Marsh, 2019). A 2022 review of related literature (Lodi</w:t>
      </w:r>
      <w:r w:rsidR="00B533A2">
        <w:rPr>
          <w:rFonts w:eastAsia="Times New Roman" w:cs="Segoe UI"/>
          <w14:ligatures w14:val="none"/>
        </w:rPr>
        <w:t xml:space="preserve"> </w:t>
      </w:r>
      <w:r w:rsidR="00F6410E" w:rsidRPr="00F6410E">
        <w:rPr>
          <w:rFonts w:eastAsia="Times New Roman" w:cs="Segoe UI"/>
          <w14:ligatures w14:val="none"/>
        </w:rPr>
        <w:t>et al</w:t>
      </w:r>
      <w:r w:rsidR="00225F63">
        <w:rPr>
          <w:rFonts w:eastAsia="Times New Roman" w:cs="Segoe UI"/>
          <w14:ligatures w14:val="none"/>
        </w:rPr>
        <w:t>.</w:t>
      </w:r>
      <w:r w:rsidR="00B533A2">
        <w:rPr>
          <w:rFonts w:eastAsia="Times New Roman" w:cs="Segoe UI"/>
          <w14:ligatures w14:val="none"/>
        </w:rPr>
        <w:t>, 2021</w:t>
      </w:r>
      <w:r w:rsidR="00F6410E" w:rsidRPr="00F6410E">
        <w:rPr>
          <w:rFonts w:eastAsia="Times New Roman" w:cs="Segoe UI"/>
          <w14:ligatures w14:val="none"/>
        </w:rPr>
        <w:t>) found that “RP [restorative practices] can improve the school climate, discipline, positive conflict management through actions that aim at preventing suspensions, exclusions, conflicts, and misbehaviors (e.g., bullying). RJ [restorative justice] practices promote positive relationships between peers and between students and teachers, as well as to prosocial behaviors through the development of social and emotional skills.” </w:t>
      </w:r>
    </w:p>
    <w:p w14:paraId="2B96E436" w14:textId="77777777" w:rsidR="00F92F31" w:rsidRPr="00F92F31" w:rsidRDefault="00F92F31" w:rsidP="00F92F31">
      <w:pPr>
        <w:pStyle w:val="BodyText"/>
        <w:rPr>
          <w:rFonts w:eastAsia="Times New Roman" w:cs="Segoe UI"/>
          <w14:ligatures w14:val="none"/>
        </w:rPr>
      </w:pPr>
      <w:r w:rsidRPr="00F92F31">
        <w:rPr>
          <w:rFonts w:eastAsia="Times New Roman" w:cs="Segoe UI"/>
          <w14:ligatures w14:val="none"/>
        </w:rPr>
        <w:t>Out-of-school time practitioners can lay the groundwork of a restorative culture by recognizing:  </w:t>
      </w:r>
    </w:p>
    <w:p w14:paraId="56BDC84D" w14:textId="77777777" w:rsidR="00F92F31" w:rsidRPr="00F92F31" w:rsidRDefault="00F92F31" w:rsidP="00396C66">
      <w:pPr>
        <w:pStyle w:val="Bulletedlist"/>
      </w:pPr>
      <w:r w:rsidRPr="00F92F31">
        <w:lastRenderedPageBreak/>
        <w:t>The communicative nature of behaviors </w:t>
      </w:r>
    </w:p>
    <w:p w14:paraId="49BA2643" w14:textId="77777777" w:rsidR="00F92F31" w:rsidRPr="00F92F31" w:rsidRDefault="00F92F31" w:rsidP="00396C66">
      <w:pPr>
        <w:pStyle w:val="Bulletedlist"/>
      </w:pPr>
      <w:r w:rsidRPr="00F92F31">
        <w:t>The potential role of trauma in those behaviors  </w:t>
      </w:r>
    </w:p>
    <w:p w14:paraId="055AAE96" w14:textId="77777777" w:rsidR="00F92F31" w:rsidRPr="00F92F31" w:rsidRDefault="00F92F31" w:rsidP="00396C66">
      <w:pPr>
        <w:pStyle w:val="Bulletedlist"/>
      </w:pPr>
      <w:r w:rsidRPr="00F92F31">
        <w:t>Their own biases at play in addressing behaviors </w:t>
      </w:r>
    </w:p>
    <w:p w14:paraId="02E86698" w14:textId="77777777" w:rsidR="00F92F31" w:rsidRPr="00F92F31" w:rsidRDefault="00F92F31" w:rsidP="00396C66">
      <w:pPr>
        <w:pStyle w:val="Bulletedlist"/>
      </w:pPr>
      <w:r w:rsidRPr="00F92F31">
        <w:t>The importance of relationship-building with and among students </w:t>
      </w:r>
    </w:p>
    <w:p w14:paraId="28B48E3E" w14:textId="62EE8F6C" w:rsidR="00F92F31" w:rsidRDefault="00F92F31" w:rsidP="00F92F31">
      <w:pPr>
        <w:pStyle w:val="BodyText"/>
        <w:rPr>
          <w:rFonts w:eastAsia="Times New Roman" w:cs="Segoe UI"/>
          <w14:ligatures w14:val="none"/>
        </w:rPr>
      </w:pPr>
      <w:r w:rsidRPr="00F92F31">
        <w:rPr>
          <w:rFonts w:eastAsia="Times New Roman" w:cs="Segoe UI"/>
          <w14:ligatures w14:val="none"/>
        </w:rPr>
        <w:t>The implementation of restorative practices in response to undesired behaviors can most effectively be achieved through restorative conversations, or “chats,” thus ensuring the healthiest possible conflict resolutions, and short- and long-term outcomes for youth (Schott, 2014). </w:t>
      </w:r>
    </w:p>
    <w:p w14:paraId="743D39F6" w14:textId="4500636E" w:rsidR="00F92F31" w:rsidRDefault="00F92F31" w:rsidP="00F92F31">
      <w:pPr>
        <w:pStyle w:val="BodyText"/>
        <w:rPr>
          <w:rFonts w:eastAsia="Times New Roman" w:cs="Segoe UI"/>
          <w14:ligatures w14:val="none"/>
        </w:rPr>
      </w:pPr>
      <w:r w:rsidRPr="00154011">
        <w:rPr>
          <w:rFonts w:asciiTheme="minorHAnsi" w:eastAsia="Times New Roman" w:hAnsiTheme="minorHAnsi" w:cstheme="minorHAnsi"/>
          <w:b/>
          <w:bCs/>
          <w:color w:val="66348C" w:themeColor="background2"/>
          <w14:ligatures w14:val="none"/>
        </w:rPr>
        <w:t>Restorative Chats:</w:t>
      </w:r>
      <w:r w:rsidRPr="00154011">
        <w:rPr>
          <w:rFonts w:eastAsia="Times New Roman" w:cs="Segoe UI"/>
          <w:color w:val="66348C" w:themeColor="background2"/>
          <w14:ligatures w14:val="none"/>
        </w:rPr>
        <w:t xml:space="preserve"> </w:t>
      </w:r>
      <w:r w:rsidRPr="00F92F31">
        <w:rPr>
          <w:rFonts w:eastAsia="Times New Roman" w:cs="Segoe UI"/>
          <w14:ligatures w14:val="none"/>
        </w:rPr>
        <w:t xml:space="preserve">When students don’t meet the norms established for the classroom or program </w:t>
      </w:r>
      <w:r w:rsidR="00F16A9A">
        <w:rPr>
          <w:rFonts w:eastAsia="Times New Roman" w:cs="Segoe UI"/>
          <w14:ligatures w14:val="none"/>
        </w:rPr>
        <w:t>—</w:t>
      </w:r>
      <w:r w:rsidRPr="00F92F31">
        <w:rPr>
          <w:rFonts w:eastAsia="Times New Roman" w:cs="Segoe UI"/>
          <w14:ligatures w14:val="none"/>
        </w:rPr>
        <w:t xml:space="preserve"> whether an undesired behavior is aimed at another student or a staff member </w:t>
      </w:r>
      <w:r w:rsidR="00F16A9A">
        <w:rPr>
          <w:rFonts w:eastAsia="Times New Roman" w:cs="Segoe UI"/>
          <w14:ligatures w14:val="none"/>
        </w:rPr>
        <w:t>—</w:t>
      </w:r>
      <w:r w:rsidRPr="00F92F31">
        <w:rPr>
          <w:rFonts w:eastAsia="Times New Roman" w:cs="Segoe UI"/>
          <w14:ligatures w14:val="none"/>
        </w:rPr>
        <w:t xml:space="preserve"> a restorative chat should be the first line of action, with commitment by the adult to come to a resolution. Parties will follow the basic steps of:  </w:t>
      </w:r>
    </w:p>
    <w:p w14:paraId="197FE52A" w14:textId="77777777" w:rsidR="00F95F6F" w:rsidRPr="00F95F6F" w:rsidRDefault="00F95F6F" w:rsidP="00396C66">
      <w:pPr>
        <w:pStyle w:val="Bulletedlist"/>
      </w:pPr>
      <w:r w:rsidRPr="00F95F6F">
        <w:t>Transitioning to a dedicated space for calming and reflection  </w:t>
      </w:r>
    </w:p>
    <w:p w14:paraId="5A8732E1" w14:textId="77777777" w:rsidR="00F95F6F" w:rsidRPr="00F95F6F" w:rsidRDefault="00F95F6F" w:rsidP="00396C66">
      <w:pPr>
        <w:pStyle w:val="Bulletedlist"/>
      </w:pPr>
      <w:r w:rsidRPr="00F95F6F">
        <w:t>Communicating the goal of resolution but honoring that it is a process </w:t>
      </w:r>
    </w:p>
    <w:p w14:paraId="0FB7CB8A" w14:textId="77777777" w:rsidR="00F95F6F" w:rsidRPr="00F95F6F" w:rsidRDefault="00F95F6F" w:rsidP="00396C66">
      <w:pPr>
        <w:pStyle w:val="Bulletedlist"/>
      </w:pPr>
      <w:r w:rsidRPr="00F95F6F">
        <w:t>Respectfully gaining perspective of parties using active and empathetic listening, “I” statements, and stressing the importance of accepting consequences and making amends to right wrongs after harming others </w:t>
      </w:r>
    </w:p>
    <w:p w14:paraId="190832E5" w14:textId="77777777" w:rsidR="00F95F6F" w:rsidRPr="00F95F6F" w:rsidRDefault="00F95F6F" w:rsidP="00396C66">
      <w:pPr>
        <w:pStyle w:val="Bulletedlist"/>
      </w:pPr>
      <w:r w:rsidRPr="00F95F6F">
        <w:t>If relevant, bringing students together for a mediated conversation, emphasizing listening and a nonconfrontational tone. </w:t>
      </w:r>
    </w:p>
    <w:p w14:paraId="2230DA29" w14:textId="7B797500" w:rsidR="003F7F00" w:rsidRDefault="00A4527A" w:rsidP="008A555C">
      <w:pPr>
        <w:pStyle w:val="BodyText"/>
        <w:rPr>
          <w:rFonts w:eastAsia="Times New Roman" w:cs="Segoe UI"/>
          <w14:ligatures w14:val="none"/>
        </w:rPr>
      </w:pPr>
      <w:bookmarkStart w:id="7" w:name="_Hlk159326173"/>
      <w:r w:rsidRPr="00A4527A">
        <w:rPr>
          <w:rFonts w:eastAsia="Times New Roman" w:cs="Segoe UI"/>
          <w14:ligatures w14:val="none"/>
        </w:rPr>
        <w:t>“When done correctly, these conversations bring all concerned stakeholders together to help mend relationships between students in conflict by helping them to become calm and nurture their communication skills.” (Valenzuela, 2023). </w:t>
      </w:r>
      <w:bookmarkEnd w:id="7"/>
    </w:p>
    <w:p w14:paraId="710FDF97" w14:textId="4D36E3F9" w:rsidR="008A555C" w:rsidRDefault="00B10919" w:rsidP="00F16A9A">
      <w:pPr>
        <w:pStyle w:val="Heading1"/>
      </w:pPr>
      <w:r w:rsidRPr="00B10919">
        <w:t>Emphasis on Skill Building </w:t>
      </w:r>
    </w:p>
    <w:p w14:paraId="043F9E45" w14:textId="15265F61" w:rsidR="00262166" w:rsidRDefault="00262166" w:rsidP="00B10919">
      <w:pPr>
        <w:pStyle w:val="BodyText"/>
        <w:rPr>
          <w:rFonts w:eastAsia="Times New Roman" w:cs="Segoe UI"/>
          <w14:ligatures w14:val="none"/>
        </w:rPr>
      </w:pPr>
      <w:r w:rsidRPr="00262166">
        <w:rPr>
          <w:rFonts w:eastAsia="Times New Roman" w:cs="Segoe UI"/>
          <w14:ligatures w14:val="none"/>
        </w:rPr>
        <w:t xml:space="preserve">Behavioral interventions that focus on guiding students toward positive behavior typically aim to help students to </w:t>
      </w:r>
      <w:r w:rsidRPr="00262166">
        <w:rPr>
          <w:rFonts w:eastAsia="Times New Roman" w:cs="Segoe UI"/>
          <w:i/>
          <w:iCs/>
          <w14:ligatures w14:val="none"/>
        </w:rPr>
        <w:t>build skills</w:t>
      </w:r>
      <w:r w:rsidRPr="00262166">
        <w:rPr>
          <w:rFonts w:eastAsia="Times New Roman" w:cs="Segoe UI"/>
          <w14:ligatures w14:val="none"/>
        </w:rPr>
        <w:t>, both in self-regulation and interpersonal interactions. The Inclusive Skill-Building Approach, ISLA, incorporates the above research and practices into a framework of action that helps students to continually progress in their positive</w:t>
      </w:r>
      <w:r>
        <w:rPr>
          <w:rFonts w:eastAsia="Times New Roman" w:cs="Segoe UI"/>
          <w14:ligatures w14:val="none"/>
        </w:rPr>
        <w:t xml:space="preserve"> </w:t>
      </w:r>
      <w:r w:rsidRPr="00262166">
        <w:rPr>
          <w:rFonts w:eastAsia="Times New Roman" w:cs="Segoe UI"/>
          <w14:ligatures w14:val="none"/>
        </w:rPr>
        <w:t>behavior not merely through achieving satisfactory short-term resolutions, but actually reflecting on and thereby gaining long-term skills that they can continue to apply throughout the program and life (Center on Positive Behavioral Intervention Supports, 2023). One tool that works in harmony with multitiered systems of support (MTSS) relating specifically to behavior is the taxonomy of intervention intensity (Fuchs et al., 2017), which encourages professionals to consider their intervention in terms of the following dimensions:</w:t>
      </w:r>
    </w:p>
    <w:p w14:paraId="1324CD14" w14:textId="77777777" w:rsidR="003A7789" w:rsidRPr="003A7789" w:rsidRDefault="003A7789" w:rsidP="00396C66">
      <w:pPr>
        <w:pStyle w:val="Bulletedlist"/>
      </w:pPr>
      <w:r w:rsidRPr="003A7789">
        <w:rPr>
          <w:b/>
          <w:bCs/>
        </w:rPr>
        <w:t xml:space="preserve">Strength: </w:t>
      </w:r>
      <w:r w:rsidRPr="003A7789">
        <w:t>the evidence of effectiveness for students with intensive needs </w:t>
      </w:r>
    </w:p>
    <w:p w14:paraId="05DC44EC" w14:textId="77777777" w:rsidR="003A7789" w:rsidRPr="003A7789" w:rsidRDefault="003A7789" w:rsidP="00396C66">
      <w:pPr>
        <w:pStyle w:val="Bulletedlist"/>
      </w:pPr>
      <w:r w:rsidRPr="003A7789">
        <w:rPr>
          <w:b/>
          <w:bCs/>
        </w:rPr>
        <w:t>Dosage:</w:t>
      </w:r>
      <w:r w:rsidRPr="003A7789">
        <w:t xml:space="preserve"> the number of opportunities the student has to respond and receive feedback from the teacher </w:t>
      </w:r>
    </w:p>
    <w:p w14:paraId="6E4CBE3D" w14:textId="5AD1CEFC" w:rsidR="003A7789" w:rsidRPr="003A7789" w:rsidRDefault="003A7789" w:rsidP="00396C66">
      <w:pPr>
        <w:pStyle w:val="Bulletedlist"/>
      </w:pPr>
      <w:r w:rsidRPr="003A7789">
        <w:rPr>
          <w:b/>
          <w:bCs/>
        </w:rPr>
        <w:t xml:space="preserve">Alignment: </w:t>
      </w:r>
      <w:r w:rsidRPr="003A7789">
        <w:t>how well the intervention matches the targeted academic skills or behaviors of concern, as well as incorporates grade-appropriate standards or behaviors we would expect for a particular context</w:t>
      </w:r>
      <w:r w:rsidR="00855321">
        <w:t>.</w:t>
      </w:r>
      <w:r w:rsidRPr="003A7789">
        <w:t> </w:t>
      </w:r>
    </w:p>
    <w:p w14:paraId="112B2652" w14:textId="72484D7E" w:rsidR="003A7789" w:rsidRPr="003A7789" w:rsidRDefault="003A7789" w:rsidP="00396C66">
      <w:pPr>
        <w:pStyle w:val="Bulletedlist"/>
      </w:pPr>
      <w:r w:rsidRPr="003A7789">
        <w:rPr>
          <w:b/>
          <w:bCs/>
        </w:rPr>
        <w:t>Attention to transfer:</w:t>
      </w:r>
      <w:r w:rsidRPr="003A7789">
        <w:t xml:space="preserve"> whether the intervention is explicitly designed to help students make connections between the skills taught in the intervention and skills learned in other contexts and </w:t>
      </w:r>
      <w:r w:rsidR="00855321" w:rsidRPr="003A7789">
        <w:t>environments.</w:t>
      </w:r>
      <w:r w:rsidRPr="003A7789">
        <w:t> </w:t>
      </w:r>
    </w:p>
    <w:p w14:paraId="3F69CA84" w14:textId="77777777" w:rsidR="003A7789" w:rsidRPr="003A7789" w:rsidRDefault="003A7789" w:rsidP="00396C66">
      <w:pPr>
        <w:pStyle w:val="Bulletedlist"/>
      </w:pPr>
      <w:r w:rsidRPr="003A7789">
        <w:rPr>
          <w:b/>
          <w:bCs/>
        </w:rPr>
        <w:lastRenderedPageBreak/>
        <w:t xml:space="preserve">Comprehensiveness: </w:t>
      </w:r>
      <w:r w:rsidRPr="003A7789">
        <w:t>how well the intervention incorporates a comprehensive array of explicit instruction principles </w:t>
      </w:r>
    </w:p>
    <w:p w14:paraId="588B02AB" w14:textId="77777777" w:rsidR="003A7789" w:rsidRPr="003A7789" w:rsidRDefault="003A7789" w:rsidP="00396C66">
      <w:pPr>
        <w:pStyle w:val="Bulletedlist"/>
      </w:pPr>
      <w:r w:rsidRPr="003A7789">
        <w:rPr>
          <w:b/>
          <w:bCs/>
        </w:rPr>
        <w:t>Behavioral or academic support:</w:t>
      </w:r>
      <w:r w:rsidRPr="003A7789">
        <w:t xml:space="preserve"> whether an academic intervention incorporates behavioral strategies that may support students with self-regulation, motivation, or externalizing behaviors that may impact their ability to learn, or whether a behavioral intervention considers academic components as part of the intervention. </w:t>
      </w:r>
    </w:p>
    <w:p w14:paraId="092819D8" w14:textId="6ED25E4A" w:rsidR="00262166" w:rsidRDefault="003A7789" w:rsidP="003F7F00">
      <w:pPr>
        <w:pStyle w:val="BodyText"/>
        <w:spacing w:after="80"/>
        <w:rPr>
          <w:rFonts w:eastAsia="Times New Roman" w:cs="Segoe UI"/>
          <w14:ligatures w14:val="none"/>
        </w:rPr>
      </w:pPr>
      <w:r w:rsidRPr="003A7789">
        <w:rPr>
          <w:rFonts w:eastAsia="Times New Roman" w:cs="Segoe UI"/>
          <w14:ligatures w14:val="none"/>
        </w:rPr>
        <w:t>The final dimension of the Taxonomy, individualization, focuses on the ongoing use of progress monitoring data and other diagnostic data sources to intensify and individualize the intervention based on student need. This approach mirrors the remaining steps of the DBI process that consist of data collection and modification in an iterative process until improvement is seen” (NCII, n.d.) </w:t>
      </w:r>
    </w:p>
    <w:p w14:paraId="4CE8798C" w14:textId="3CE1A286" w:rsidR="00D354FB" w:rsidRPr="00D354FB" w:rsidRDefault="00BC116A" w:rsidP="00F16A9A">
      <w:pPr>
        <w:pStyle w:val="Heading1"/>
      </w:pPr>
      <w:bookmarkStart w:id="8" w:name="_Hlk159326391"/>
      <w:r>
        <w:t>Measuring Success</w:t>
      </w:r>
      <w:r w:rsidR="00D354FB" w:rsidRPr="00D354FB">
        <w:t> </w:t>
      </w:r>
    </w:p>
    <w:bookmarkEnd w:id="8"/>
    <w:p w14:paraId="72C143CA" w14:textId="5FF9462F" w:rsidR="003F7F00" w:rsidRDefault="00E944B5" w:rsidP="00F36112">
      <w:pPr>
        <w:pStyle w:val="BodyText"/>
        <w:rPr>
          <w:rStyle w:val="eop"/>
          <w:color w:val="000000"/>
          <w:shd w:val="clear" w:color="auto" w:fill="FFFFFF"/>
        </w:rPr>
      </w:pPr>
      <w:r w:rsidRPr="00E944B5">
        <w:rPr>
          <w:rStyle w:val="normaltextrun"/>
          <w:color w:val="000000"/>
          <w:shd w:val="clear" w:color="auto" w:fill="FFFFFF"/>
        </w:rPr>
        <w:t>Program leaders can monitor student outcomes and use data to guide responses to students’ social, emotional and behavioral needs. (CPIS, January 2022; 21</w:t>
      </w:r>
      <w:r w:rsidRPr="00E944B5">
        <w:rPr>
          <w:rStyle w:val="normaltextrun"/>
          <w:color w:val="000000"/>
          <w:shd w:val="clear" w:color="auto" w:fill="FFFFFF"/>
          <w:vertAlign w:val="superscript"/>
        </w:rPr>
        <w:t>st</w:t>
      </w:r>
      <w:r w:rsidRPr="00E944B5">
        <w:rPr>
          <w:rStyle w:val="normaltextrun"/>
          <w:color w:val="000000"/>
          <w:shd w:val="clear" w:color="auto" w:fill="FFFFFF"/>
        </w:rPr>
        <w:t xml:space="preserve"> CCLC NTAC </w:t>
      </w:r>
      <w:r w:rsidRPr="00E944B5">
        <w:rPr>
          <w:rStyle w:val="normaltextrun"/>
          <w:i/>
          <w:iCs/>
          <w:color w:val="000000"/>
          <w:shd w:val="clear" w:color="auto" w:fill="FFFFFF"/>
        </w:rPr>
        <w:t>GPSB Monitoring Student Outcomes</w:t>
      </w:r>
      <w:r w:rsidRPr="00E944B5">
        <w:rPr>
          <w:rStyle w:val="normaltextrun"/>
          <w:color w:val="000000"/>
          <w:shd w:val="clear" w:color="auto" w:fill="FFFFFF"/>
        </w:rPr>
        <w:t>). This process ensures continuous improvement of your program’s guidance of positive student behavior and, more important, informs the ultimate goals of supporting students’ development of lifelong relational skills and their own emotional health and wellness.</w:t>
      </w:r>
      <w:r w:rsidRPr="00E944B5">
        <w:rPr>
          <w:rStyle w:val="eop"/>
          <w:color w:val="000000"/>
          <w:shd w:val="clear" w:color="auto" w:fill="FFFFFF"/>
        </w:rPr>
        <w:t> </w:t>
      </w:r>
    </w:p>
    <w:p w14:paraId="15B725F9" w14:textId="12AAFC07" w:rsidR="00D866B8" w:rsidRDefault="00F36112" w:rsidP="00F16A9A">
      <w:pPr>
        <w:pStyle w:val="Heading1"/>
      </w:pPr>
      <w:r>
        <w:t>Bibliography</w:t>
      </w:r>
    </w:p>
    <w:p w14:paraId="656EE6F4" w14:textId="6392FF07" w:rsidR="008F4023" w:rsidRPr="00652FD6" w:rsidRDefault="008F4023" w:rsidP="003132E7">
      <w:pPr>
        <w:pStyle w:val="paragraph"/>
        <w:spacing w:before="0" w:beforeAutospacing="0" w:after="120" w:afterAutospacing="0"/>
        <w:textAlignment w:val="baseline"/>
        <w:rPr>
          <w:rStyle w:val="normaltextrun"/>
          <w:rFonts w:ascii="Cambria" w:hAnsi="Cambria" w:cs="Segoe UI"/>
          <w:i/>
          <w:iCs/>
        </w:rPr>
      </w:pPr>
      <w:r w:rsidRPr="00652FD6">
        <w:rPr>
          <w:rStyle w:val="normaltextrun"/>
          <w:rFonts w:ascii="Cambria" w:hAnsi="Cambria" w:cs="Segoe UI"/>
          <w:i/>
          <w:iCs/>
        </w:rPr>
        <w:t>This is a bibliography of resources cited or consulted</w:t>
      </w:r>
      <w:r w:rsidR="009A1A66" w:rsidRPr="00652FD6">
        <w:rPr>
          <w:rStyle w:val="normaltextrun"/>
          <w:rFonts w:ascii="Cambria" w:hAnsi="Cambria" w:cs="Segoe UI"/>
          <w:i/>
          <w:iCs/>
        </w:rPr>
        <w:t xml:space="preserve"> </w:t>
      </w:r>
      <w:r w:rsidR="00E27CC2">
        <w:rPr>
          <w:rStyle w:val="normaltextrun"/>
          <w:rFonts w:ascii="Cambria" w:hAnsi="Cambria" w:cs="Segoe UI"/>
          <w:i/>
          <w:iCs/>
        </w:rPr>
        <w:t>in</w:t>
      </w:r>
      <w:r w:rsidR="009A1A66" w:rsidRPr="00652FD6">
        <w:rPr>
          <w:rStyle w:val="normaltextrun"/>
          <w:rFonts w:ascii="Cambria" w:hAnsi="Cambria" w:cs="Segoe UI"/>
          <w:i/>
          <w:iCs/>
        </w:rPr>
        <w:t xml:space="preserve"> developing the Guiding Positive Student Behavior Toolkit and </w:t>
      </w:r>
      <w:r w:rsidR="00991D8B" w:rsidRPr="00652FD6">
        <w:rPr>
          <w:rStyle w:val="normaltextrun"/>
          <w:rFonts w:ascii="Cambria" w:hAnsi="Cambria" w:cs="Segoe UI"/>
          <w:i/>
          <w:iCs/>
        </w:rPr>
        <w:t>the Guiding Positive Student Behavior Mini-Course</w:t>
      </w:r>
      <w:r w:rsidR="00652FD6" w:rsidRPr="00652FD6">
        <w:rPr>
          <w:rStyle w:val="normaltextrun"/>
          <w:rFonts w:ascii="Cambria" w:hAnsi="Cambria" w:cs="Segoe UI"/>
          <w:i/>
          <w:iCs/>
        </w:rPr>
        <w:t xml:space="preserve">. </w:t>
      </w:r>
      <w:r w:rsidR="00253DDE">
        <w:rPr>
          <w:rStyle w:val="normaltextrun"/>
          <w:rFonts w:ascii="Cambria" w:hAnsi="Cambria" w:cs="Segoe UI"/>
          <w:i/>
          <w:iCs/>
        </w:rPr>
        <w:t xml:space="preserve">The toolkit and the mini-course </w:t>
      </w:r>
      <w:r w:rsidR="00652FD6" w:rsidRPr="00652FD6">
        <w:rPr>
          <w:rStyle w:val="normaltextrun"/>
          <w:rFonts w:ascii="Cambria" w:hAnsi="Cambria" w:cs="Segoe UI"/>
          <w:i/>
          <w:iCs/>
        </w:rPr>
        <w:t xml:space="preserve">are available on the </w:t>
      </w:r>
      <w:hyperlink r:id="rId13" w:history="1">
        <w:r w:rsidR="00652FD6" w:rsidRPr="00253DDE">
          <w:rPr>
            <w:rStyle w:val="Hyperlink"/>
            <w:rFonts w:ascii="Cambria" w:hAnsi="Cambria" w:cs="Segoe UI"/>
            <w:i/>
            <w:iCs/>
          </w:rPr>
          <w:t>21</w:t>
        </w:r>
        <w:r w:rsidR="00652FD6" w:rsidRPr="00253DDE">
          <w:rPr>
            <w:rStyle w:val="Hyperlink"/>
            <w:rFonts w:ascii="Cambria" w:hAnsi="Cambria" w:cs="Segoe UI"/>
            <w:i/>
            <w:iCs/>
            <w:vertAlign w:val="superscript"/>
          </w:rPr>
          <w:t>st</w:t>
        </w:r>
        <w:r w:rsidR="00652FD6" w:rsidRPr="00253DDE">
          <w:rPr>
            <w:rStyle w:val="Hyperlink"/>
            <w:rFonts w:ascii="Cambria" w:hAnsi="Cambria" w:cs="Segoe UI"/>
            <w:i/>
            <w:iCs/>
          </w:rPr>
          <w:t xml:space="preserve"> CCLC NTAC website</w:t>
        </w:r>
      </w:hyperlink>
      <w:r w:rsidR="00652FD6" w:rsidRPr="00652FD6">
        <w:rPr>
          <w:rStyle w:val="normaltextrun"/>
          <w:rFonts w:ascii="Cambria" w:hAnsi="Cambria" w:cs="Segoe UI"/>
          <w:i/>
          <w:iCs/>
        </w:rPr>
        <w:t>.</w:t>
      </w:r>
      <w:r w:rsidR="009A1A66" w:rsidRPr="00652FD6">
        <w:rPr>
          <w:rStyle w:val="normaltextrun"/>
          <w:rFonts w:ascii="Cambria" w:hAnsi="Cambria" w:cs="Segoe UI"/>
          <w:i/>
          <w:iCs/>
        </w:rPr>
        <w:t xml:space="preserve"> </w:t>
      </w:r>
    </w:p>
    <w:p w14:paraId="7986F15D" w14:textId="43BA8436"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Ablon, J. S., &amp; Pollastri, A. R. (2018). </w:t>
      </w:r>
      <w:r w:rsidRPr="00D866B8">
        <w:rPr>
          <w:rStyle w:val="normaltextrun"/>
          <w:rFonts w:ascii="Cambria" w:hAnsi="Cambria" w:cs="Segoe UI"/>
          <w:i/>
          <w:iCs/>
        </w:rPr>
        <w:t>The school discipline fix: Changing behavior using the collaborative problem solving approach.</w:t>
      </w:r>
      <w:r w:rsidRPr="00D866B8">
        <w:rPr>
          <w:rStyle w:val="normaltextrun"/>
          <w:rFonts w:ascii="Cambria" w:hAnsi="Cambria" w:cs="Segoe UI"/>
        </w:rPr>
        <w:t> W. W. Norton &amp; Company.</w:t>
      </w:r>
      <w:r w:rsidRPr="00D866B8">
        <w:rPr>
          <w:rStyle w:val="eop"/>
          <w:rFonts w:ascii="Cambria" w:hAnsi="Cambria" w:cs="Segoe UI"/>
        </w:rPr>
        <w:t> </w:t>
      </w:r>
    </w:p>
    <w:p w14:paraId="1B31659F" w14:textId="0DCD3520" w:rsidR="00A27AD2" w:rsidRPr="00A6209C" w:rsidRDefault="00A27AD2" w:rsidP="008F4023">
      <w:pPr>
        <w:pStyle w:val="paragraph"/>
        <w:spacing w:before="0" w:beforeAutospacing="0" w:after="80" w:afterAutospacing="0"/>
        <w:ind w:left="360" w:hanging="360"/>
        <w:textAlignment w:val="baseline"/>
        <w:rPr>
          <w:rStyle w:val="normaltextrun"/>
          <w:rFonts w:ascii="Cambria" w:hAnsi="Cambria" w:cs="Segoe UI"/>
        </w:rPr>
      </w:pPr>
      <w:r>
        <w:rPr>
          <w:rStyle w:val="normaltextrun"/>
          <w:rFonts w:ascii="Cambria" w:hAnsi="Cambria" w:cs="Segoe UI"/>
        </w:rPr>
        <w:t>American Psychological Association</w:t>
      </w:r>
      <w:r w:rsidR="00B218CD">
        <w:rPr>
          <w:rStyle w:val="normaltextrun"/>
          <w:rFonts w:ascii="Cambria" w:hAnsi="Cambria" w:cs="Segoe UI"/>
        </w:rPr>
        <w:t xml:space="preserve"> (APA)</w:t>
      </w:r>
      <w:r>
        <w:rPr>
          <w:rStyle w:val="normaltextrun"/>
          <w:rFonts w:ascii="Cambria" w:hAnsi="Cambria" w:cs="Segoe UI"/>
        </w:rPr>
        <w:t xml:space="preserve">. (2021). </w:t>
      </w:r>
      <w:r w:rsidR="00FF27A3">
        <w:rPr>
          <w:rStyle w:val="normaltextrun"/>
          <w:rFonts w:ascii="Cambria" w:hAnsi="Cambria" w:cs="Segoe UI"/>
          <w:i/>
          <w:iCs/>
        </w:rPr>
        <w:t>Students exposed to trauma</w:t>
      </w:r>
      <w:r w:rsidR="00A6209C">
        <w:rPr>
          <w:rStyle w:val="normaltextrun"/>
          <w:rFonts w:ascii="Cambria" w:hAnsi="Cambria" w:cs="Segoe UI"/>
          <w:i/>
          <w:iCs/>
        </w:rPr>
        <w:t xml:space="preserve"> </w:t>
      </w:r>
      <w:r w:rsidR="00A6209C">
        <w:rPr>
          <w:rStyle w:val="normaltextrun"/>
          <w:rFonts w:ascii="Cambria" w:hAnsi="Cambria" w:cs="Segoe UI"/>
        </w:rPr>
        <w:t xml:space="preserve">(APA Mental Health Primer). </w:t>
      </w:r>
      <w:hyperlink r:id="rId14" w:history="1">
        <w:r w:rsidR="00A6209C" w:rsidRPr="00C636EF">
          <w:rPr>
            <w:rStyle w:val="Hyperlink"/>
            <w:rFonts w:ascii="Cambria" w:hAnsi="Cambria" w:cs="Segoe UI"/>
          </w:rPr>
          <w:t>https://www.apa.org/ed/schools/primer/trauma</w:t>
        </w:r>
      </w:hyperlink>
      <w:r w:rsidR="00A6209C">
        <w:rPr>
          <w:rStyle w:val="normaltextrun"/>
          <w:rFonts w:ascii="Cambria" w:hAnsi="Cambria" w:cs="Segoe UI"/>
        </w:rPr>
        <w:t xml:space="preserve"> </w:t>
      </w:r>
    </w:p>
    <w:p w14:paraId="48E66A2E" w14:textId="20709C85"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Bishop, M. A., Craven, M., Galer, D., Wilson, T., &amp; Duggins-Clay, P. (2022). Literature review: school discipline. </w:t>
      </w:r>
      <w:r w:rsidRPr="00D866B8">
        <w:rPr>
          <w:rStyle w:val="normaltextrun"/>
          <w:rFonts w:ascii="Cambria" w:hAnsi="Cambria" w:cs="Segoe UI"/>
          <w:i/>
          <w:iCs/>
        </w:rPr>
        <w:t>Intercultural Development Research Association</w:t>
      </w:r>
      <w:r w:rsidRPr="00D866B8">
        <w:rPr>
          <w:rStyle w:val="normaltextrun"/>
          <w:rFonts w:ascii="Cambria" w:hAnsi="Cambria" w:cs="Segoe UI"/>
        </w:rPr>
        <w:t xml:space="preserve">. </w:t>
      </w:r>
      <w:hyperlink r:id="rId15" w:tgtFrame="_blank" w:history="1">
        <w:r w:rsidRPr="00D866B8">
          <w:rPr>
            <w:rStyle w:val="normaltextrun"/>
            <w:rFonts w:ascii="Cambria" w:hAnsi="Cambria" w:cs="Segoe UI"/>
            <w:color w:val="0563C1"/>
            <w:u w:val="single"/>
          </w:rPr>
          <w:t>https://files.eric.ed.gov/fulltext/ED629271.pdf</w:t>
        </w:r>
      </w:hyperlink>
      <w:r w:rsidRPr="00D866B8">
        <w:rPr>
          <w:rStyle w:val="eop"/>
          <w:rFonts w:ascii="Cambria" w:hAnsi="Cambria" w:cs="Segoe UI"/>
        </w:rPr>
        <w:t> </w:t>
      </w:r>
    </w:p>
    <w:p w14:paraId="4A84480B" w14:textId="1F1EF366"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Center on Positive Behavioral Intervention Supports</w:t>
      </w:r>
      <w:r w:rsidR="00741DBC">
        <w:rPr>
          <w:rStyle w:val="normaltextrun"/>
          <w:rFonts w:ascii="Cambria" w:hAnsi="Cambria" w:cs="Segoe UI"/>
        </w:rPr>
        <w:t>.</w:t>
      </w:r>
      <w:r w:rsidRPr="00D866B8">
        <w:rPr>
          <w:rStyle w:val="normaltextrun"/>
          <w:rFonts w:ascii="Cambria" w:hAnsi="Cambria" w:cs="Segoe UI"/>
        </w:rPr>
        <w:t xml:space="preserve"> (2023). </w:t>
      </w:r>
      <w:r w:rsidRPr="00D866B8">
        <w:rPr>
          <w:rStyle w:val="normaltextrun"/>
          <w:rFonts w:ascii="Cambria" w:hAnsi="Cambria" w:cs="Segoe UI"/>
          <w:i/>
          <w:iCs/>
        </w:rPr>
        <w:t>Instructional and restorative alternatives to exclusionary discipline: A guide to implementing the five components of the Inclusive Skill-building Learning Approach (ISLA</w:t>
      </w:r>
      <w:r w:rsidRPr="00487F96">
        <w:rPr>
          <w:rStyle w:val="normaltextrun"/>
          <w:rFonts w:ascii="Cambria" w:hAnsi="Cambria" w:cs="Segoe UI"/>
        </w:rPr>
        <w:t>)</w:t>
      </w:r>
      <w:r w:rsidR="00487F96" w:rsidRPr="00487F96">
        <w:rPr>
          <w:rStyle w:val="normaltextrun"/>
          <w:rFonts w:ascii="Cambria" w:hAnsi="Cambria" w:cs="Segoe UI"/>
        </w:rPr>
        <w:t xml:space="preserve"> </w:t>
      </w:r>
      <w:r w:rsidR="00487F96">
        <w:rPr>
          <w:rStyle w:val="normaltextrun"/>
          <w:rFonts w:ascii="Cambria" w:hAnsi="Cambria" w:cs="Segoe UI"/>
        </w:rPr>
        <w:t>(</w:t>
      </w:r>
      <w:r w:rsidR="00741DBC" w:rsidRPr="00487F96">
        <w:rPr>
          <w:rStyle w:val="normaltextrun"/>
          <w:rFonts w:ascii="Cambria" w:hAnsi="Cambria" w:cs="Segoe UI"/>
        </w:rPr>
        <w:t xml:space="preserve">Practice </w:t>
      </w:r>
      <w:r w:rsidR="00487F96">
        <w:rPr>
          <w:rStyle w:val="normaltextrun"/>
          <w:rFonts w:ascii="Cambria" w:hAnsi="Cambria" w:cs="Segoe UI"/>
        </w:rPr>
        <w:t>b</w:t>
      </w:r>
      <w:r w:rsidR="00741DBC" w:rsidRPr="00487F96">
        <w:rPr>
          <w:rStyle w:val="normaltextrun"/>
          <w:rFonts w:ascii="Cambria" w:hAnsi="Cambria" w:cs="Segoe UI"/>
        </w:rPr>
        <w:t>rief</w:t>
      </w:r>
      <w:r w:rsidR="00487F96">
        <w:rPr>
          <w:rStyle w:val="normaltextrun"/>
          <w:rFonts w:ascii="Cambria" w:hAnsi="Cambria" w:cs="Segoe UI"/>
        </w:rPr>
        <w:t>)</w:t>
      </w:r>
      <w:r w:rsidR="00741DBC" w:rsidRPr="00487F96">
        <w:rPr>
          <w:rStyle w:val="normaltextrun"/>
          <w:rFonts w:ascii="Cambria" w:hAnsi="Cambria" w:cs="Segoe UI"/>
        </w:rPr>
        <w:t>.</w:t>
      </w:r>
      <w:r w:rsidRPr="00487F96">
        <w:rPr>
          <w:rStyle w:val="normaltextrun"/>
          <w:rFonts w:ascii="Cambria" w:hAnsi="Cambria" w:cs="Segoe UI"/>
        </w:rPr>
        <w:t xml:space="preserve"> </w:t>
      </w:r>
      <w:hyperlink r:id="rId16" w:tgtFrame="_blank" w:history="1">
        <w:r w:rsidRPr="00D866B8">
          <w:rPr>
            <w:rStyle w:val="normaltextrun"/>
            <w:rFonts w:ascii="Cambria" w:hAnsi="Cambria" w:cs="Segoe UI"/>
            <w:color w:val="0563C1"/>
            <w:u w:val="single"/>
          </w:rPr>
          <w:t>https://www.pbis.org/resource/instructional-and-restorative-alternatives-to-exclusionary-discipline-isla-guide</w:t>
        </w:r>
      </w:hyperlink>
      <w:r w:rsidRPr="00D866B8">
        <w:rPr>
          <w:rStyle w:val="eop"/>
          <w:rFonts w:ascii="Cambria" w:hAnsi="Cambria" w:cs="Segoe UI"/>
        </w:rPr>
        <w:t> </w:t>
      </w:r>
    </w:p>
    <w:p w14:paraId="4FCCA5F6" w14:textId="72F3CEAF"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Center on Positive Behavioral Intervention Supports (CPBIS). (2022). </w:t>
      </w:r>
      <w:r w:rsidRPr="00D866B8">
        <w:rPr>
          <w:rStyle w:val="normaltextrun"/>
          <w:rFonts w:ascii="Cambria" w:hAnsi="Cambria" w:cs="Segoe UI"/>
          <w:i/>
          <w:iCs/>
        </w:rPr>
        <w:t>Strategies for de-escalating student behavior in the classroom</w:t>
      </w:r>
      <w:r w:rsidR="00487F96" w:rsidRPr="00487F96">
        <w:rPr>
          <w:rStyle w:val="normaltextrun"/>
          <w:rFonts w:ascii="Cambria" w:hAnsi="Cambria" w:cs="Segoe UI"/>
        </w:rPr>
        <w:t xml:space="preserve"> (</w:t>
      </w:r>
      <w:r w:rsidRPr="00487F96">
        <w:rPr>
          <w:rStyle w:val="normaltextrun"/>
          <w:rFonts w:ascii="Cambria" w:hAnsi="Cambria" w:cs="Segoe UI"/>
        </w:rPr>
        <w:t xml:space="preserve">Practice </w:t>
      </w:r>
      <w:r w:rsidR="00487F96" w:rsidRPr="00487F96">
        <w:rPr>
          <w:rStyle w:val="normaltextrun"/>
          <w:rFonts w:ascii="Cambria" w:hAnsi="Cambria" w:cs="Segoe UI"/>
        </w:rPr>
        <w:t>b</w:t>
      </w:r>
      <w:r w:rsidRPr="00487F96">
        <w:rPr>
          <w:rStyle w:val="normaltextrun"/>
          <w:rFonts w:ascii="Cambria" w:hAnsi="Cambria" w:cs="Segoe UI"/>
        </w:rPr>
        <w:t>rief</w:t>
      </w:r>
      <w:r w:rsidR="00487F96" w:rsidRPr="00487F96">
        <w:rPr>
          <w:rStyle w:val="normaltextrun"/>
          <w:rFonts w:ascii="Cambria" w:hAnsi="Cambria" w:cs="Segoe UI"/>
        </w:rPr>
        <w:t>).</w:t>
      </w:r>
      <w:r w:rsidRPr="00487F96">
        <w:rPr>
          <w:rStyle w:val="normaltextrun"/>
          <w:rFonts w:ascii="Cambria" w:hAnsi="Cambria" w:cs="Segoe UI"/>
        </w:rPr>
        <w:t xml:space="preserve"> </w:t>
      </w:r>
      <w:hyperlink r:id="rId17" w:tgtFrame="_blank" w:history="1">
        <w:r w:rsidRPr="00D866B8">
          <w:rPr>
            <w:rStyle w:val="normaltextrun"/>
            <w:rFonts w:ascii="Cambria" w:hAnsi="Cambria" w:cs="Segoe UI"/>
            <w:color w:val="0563C1"/>
            <w:u w:val="single"/>
          </w:rPr>
          <w:t>https://www.pbis.org/resource/strategies-for-de-escalating-student-behavior-in-the-classroom</w:t>
        </w:r>
      </w:hyperlink>
      <w:r w:rsidRPr="00D866B8">
        <w:rPr>
          <w:rStyle w:val="eop"/>
          <w:rFonts w:ascii="Cambria" w:hAnsi="Cambria" w:cs="Segoe UI"/>
        </w:rPr>
        <w:t> </w:t>
      </w:r>
    </w:p>
    <w:p w14:paraId="447D95CF" w14:textId="77777777" w:rsidR="003132E7" w:rsidRDefault="003132E7">
      <w:pPr>
        <w:rPr>
          <w:rStyle w:val="normaltextrun"/>
          <w:rFonts w:ascii="Cambria" w:eastAsia="Times New Roman" w:hAnsi="Cambria" w:cs="Segoe UI"/>
          <w:kern w:val="0"/>
          <w:sz w:val="24"/>
          <w:szCs w:val="24"/>
          <w14:ligatures w14:val="none"/>
        </w:rPr>
      </w:pPr>
      <w:r>
        <w:rPr>
          <w:rStyle w:val="normaltextrun"/>
          <w:rFonts w:ascii="Cambria" w:hAnsi="Cambria" w:cs="Segoe UI"/>
        </w:rPr>
        <w:br w:type="page"/>
      </w:r>
    </w:p>
    <w:p w14:paraId="7907B1A5" w14:textId="7C1B75A8"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lastRenderedPageBreak/>
        <w:t>Center on Positive Behavioral Intervention Supports (CPBIS). (2022)</w:t>
      </w:r>
      <w:r w:rsidRPr="00D866B8">
        <w:rPr>
          <w:rStyle w:val="normaltextrun"/>
          <w:rFonts w:ascii="Cambria" w:hAnsi="Cambria" w:cs="Segoe UI"/>
          <w:i/>
          <w:iCs/>
        </w:rPr>
        <w:t xml:space="preserve">. Supporting and responding to students’ social, emotional, and behavioral needs: Evidence-based practices for educators. </w:t>
      </w:r>
      <w:hyperlink r:id="rId18" w:tgtFrame="_blank" w:history="1">
        <w:r w:rsidRPr="00D866B8">
          <w:rPr>
            <w:rStyle w:val="normaltextrun"/>
            <w:rFonts w:ascii="Cambria" w:hAnsi="Cambria" w:cs="Segoe UI"/>
            <w:color w:val="0563C1"/>
            <w:u w:val="single"/>
          </w:rPr>
          <w:t>https://assets-global.website-files.com/5d3725188825e071f1670246/626c27c785879e08c1a7c8ea_Supporting%20and%20Responding%20to%20Students%E2%80%99%20Social%2C%20Emotional%2C%20and%20Behavioral%20Needs.pdf</w:t>
        </w:r>
      </w:hyperlink>
      <w:r w:rsidRPr="00D866B8">
        <w:rPr>
          <w:rStyle w:val="eop"/>
          <w:rFonts w:ascii="Cambria" w:hAnsi="Cambria" w:cs="Segoe UI"/>
        </w:rPr>
        <w:t> </w:t>
      </w:r>
    </w:p>
    <w:p w14:paraId="3736FAA2"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color w:val="000000"/>
        </w:rPr>
        <w:t>Centers for Disease Control and Prevention (CDC). (2022).</w:t>
      </w:r>
      <w:r w:rsidRPr="00D866B8">
        <w:rPr>
          <w:rStyle w:val="normaltextrun"/>
          <w:rFonts w:ascii="Cambria" w:hAnsi="Cambria" w:cs="Segoe UI"/>
          <w:i/>
          <w:iCs/>
          <w:color w:val="000000"/>
        </w:rPr>
        <w:t xml:space="preserve"> Classroom physical activity. </w:t>
      </w:r>
      <w:hyperlink r:id="rId19" w:tgtFrame="_blank" w:history="1">
        <w:r w:rsidRPr="00D866B8">
          <w:rPr>
            <w:rStyle w:val="normaltextrun"/>
            <w:rFonts w:ascii="Cambria" w:hAnsi="Cambria" w:cs="Segoe UI"/>
            <w:color w:val="0563C1"/>
            <w:u w:val="single"/>
          </w:rPr>
          <w:t>https://www.cdc.gov/healthyschools/physicalactivity/classroom-pa.htm</w:t>
        </w:r>
      </w:hyperlink>
      <w:r w:rsidRPr="00D866B8">
        <w:rPr>
          <w:rStyle w:val="eop"/>
          <w:rFonts w:ascii="Cambria" w:hAnsi="Cambria" w:cs="Segoe UI"/>
          <w:color w:val="000000"/>
        </w:rPr>
        <w:t> </w:t>
      </w:r>
    </w:p>
    <w:p w14:paraId="09A02274" w14:textId="3A39574C" w:rsidR="00105E8E" w:rsidRDefault="00105E8E" w:rsidP="008F4023">
      <w:pPr>
        <w:pStyle w:val="paragraph"/>
        <w:spacing w:before="0" w:beforeAutospacing="0" w:after="80" w:afterAutospacing="0"/>
        <w:ind w:left="360" w:hanging="360"/>
        <w:textAlignment w:val="baseline"/>
        <w:rPr>
          <w:rFonts w:ascii="Cambria" w:hAnsi="Cambria" w:cs="Arial"/>
          <w:color w:val="000000" w:themeColor="text1"/>
          <w:shd w:val="clear" w:color="auto" w:fill="FFFFFF"/>
        </w:rPr>
      </w:pPr>
      <w:proofErr w:type="spellStart"/>
      <w:r>
        <w:rPr>
          <w:rFonts w:ascii="Cambria" w:hAnsi="Cambria" w:cs="Arial"/>
          <w:color w:val="000000" w:themeColor="text1"/>
          <w:shd w:val="clear" w:color="auto" w:fill="FFFFFF"/>
        </w:rPr>
        <w:t>Danisman</w:t>
      </w:r>
      <w:proofErr w:type="spellEnd"/>
      <w:r>
        <w:rPr>
          <w:rFonts w:ascii="Cambria" w:hAnsi="Cambria" w:cs="Arial"/>
          <w:color w:val="000000" w:themeColor="text1"/>
          <w:shd w:val="clear" w:color="auto" w:fill="FFFFFF"/>
        </w:rPr>
        <w:t>, S. (2017). The effect of expectation on student achievement. In</w:t>
      </w:r>
      <w:r w:rsidR="00C21AF4">
        <w:rPr>
          <w:rFonts w:ascii="Cambria" w:hAnsi="Cambria" w:cs="Arial"/>
          <w:color w:val="000000" w:themeColor="text1"/>
          <w:shd w:val="clear" w:color="auto" w:fill="FFFFFF"/>
        </w:rPr>
        <w:t xml:space="preserve"> Karadag, E. (Ed.),</w:t>
      </w:r>
      <w:r>
        <w:rPr>
          <w:rFonts w:ascii="Cambria" w:hAnsi="Cambria" w:cs="Arial"/>
          <w:color w:val="000000" w:themeColor="text1"/>
          <w:shd w:val="clear" w:color="auto" w:fill="FFFFFF"/>
        </w:rPr>
        <w:t xml:space="preserve"> </w:t>
      </w:r>
      <w:r w:rsidR="00BA024A">
        <w:rPr>
          <w:rFonts w:ascii="Cambria" w:hAnsi="Cambria" w:cs="Arial"/>
          <w:i/>
          <w:iCs/>
          <w:color w:val="000000" w:themeColor="text1"/>
          <w:shd w:val="clear" w:color="auto" w:fill="FFFFFF"/>
        </w:rPr>
        <w:t>The factors effecting student achievement</w:t>
      </w:r>
      <w:r w:rsidR="002F27CC">
        <w:rPr>
          <w:rFonts w:ascii="Cambria" w:hAnsi="Cambria" w:cs="Arial"/>
          <w:i/>
          <w:iCs/>
          <w:color w:val="000000" w:themeColor="text1"/>
          <w:shd w:val="clear" w:color="auto" w:fill="FFFFFF"/>
        </w:rPr>
        <w:t>: A meta-analysis of empirical studies</w:t>
      </w:r>
      <w:r w:rsidR="00CE1051">
        <w:rPr>
          <w:rFonts w:ascii="Cambria" w:hAnsi="Cambria" w:cs="Arial"/>
          <w:color w:val="000000" w:themeColor="text1"/>
          <w:shd w:val="clear" w:color="auto" w:fill="FFFFFF"/>
        </w:rPr>
        <w:t xml:space="preserve"> (pp. </w:t>
      </w:r>
      <w:r w:rsidR="0081044A">
        <w:rPr>
          <w:rFonts w:ascii="Cambria" w:hAnsi="Cambria" w:cs="Arial"/>
          <w:color w:val="000000" w:themeColor="text1"/>
          <w:shd w:val="clear" w:color="auto" w:fill="FFFFFF"/>
        </w:rPr>
        <w:t>227–245).</w:t>
      </w:r>
      <w:r w:rsidR="002F27CC">
        <w:rPr>
          <w:rFonts w:ascii="Cambria" w:hAnsi="Cambria" w:cs="Arial"/>
          <w:i/>
          <w:iCs/>
          <w:color w:val="000000" w:themeColor="text1"/>
          <w:shd w:val="clear" w:color="auto" w:fill="FFFFFF"/>
        </w:rPr>
        <w:t xml:space="preserve"> </w:t>
      </w:r>
    </w:p>
    <w:p w14:paraId="40A9DB89" w14:textId="68140A78" w:rsidR="007B28C4" w:rsidRPr="004627E2" w:rsidRDefault="007B28C4" w:rsidP="008F4023">
      <w:pPr>
        <w:pStyle w:val="paragraph"/>
        <w:spacing w:before="0" w:beforeAutospacing="0" w:after="80" w:afterAutospacing="0"/>
        <w:ind w:left="360" w:hanging="360"/>
        <w:textAlignment w:val="baseline"/>
        <w:rPr>
          <w:rFonts w:ascii="Cambria" w:hAnsi="Cambria" w:cs="Arial"/>
          <w:color w:val="000000" w:themeColor="text1"/>
          <w:shd w:val="clear" w:color="auto" w:fill="FFFFFF"/>
          <w:lang w:val="es-US"/>
        </w:rPr>
      </w:pPr>
      <w:proofErr w:type="spellStart"/>
      <w:r w:rsidRPr="00A84AAD">
        <w:rPr>
          <w:rFonts w:ascii="Cambria" w:hAnsi="Cambria" w:cs="Arial"/>
          <w:color w:val="000000" w:themeColor="text1"/>
          <w:shd w:val="clear" w:color="auto" w:fill="FFFFFF"/>
        </w:rPr>
        <w:t>Daumeyer</w:t>
      </w:r>
      <w:proofErr w:type="spellEnd"/>
      <w:r w:rsidRPr="00A84AAD">
        <w:rPr>
          <w:rFonts w:ascii="Cambria" w:hAnsi="Cambria" w:cs="Arial"/>
          <w:color w:val="000000" w:themeColor="text1"/>
          <w:shd w:val="clear" w:color="auto" w:fill="FFFFFF"/>
        </w:rPr>
        <w:t>, N</w:t>
      </w:r>
      <w:r w:rsidRPr="00A84AAD">
        <w:rPr>
          <w:rFonts w:ascii="Cambria" w:hAnsi="Cambria" w:cs="Arial"/>
          <w:color w:val="000000" w:themeColor="text1"/>
          <w:shd w:val="clear" w:color="auto" w:fill="FFFFFF"/>
        </w:rPr>
        <w:t xml:space="preserve">., </w:t>
      </w:r>
      <w:proofErr w:type="spellStart"/>
      <w:r w:rsidRPr="00A84AAD">
        <w:rPr>
          <w:rFonts w:ascii="Cambria" w:hAnsi="Cambria" w:cs="Arial"/>
          <w:color w:val="000000" w:themeColor="text1"/>
          <w:shd w:val="clear" w:color="auto" w:fill="FFFFFF"/>
        </w:rPr>
        <w:t>Onyeador</w:t>
      </w:r>
      <w:proofErr w:type="spellEnd"/>
      <w:r w:rsidRPr="00A84AAD">
        <w:rPr>
          <w:rFonts w:ascii="Cambria" w:hAnsi="Cambria" w:cs="Arial"/>
          <w:color w:val="000000" w:themeColor="text1"/>
          <w:shd w:val="clear" w:color="auto" w:fill="FFFFFF"/>
        </w:rPr>
        <w:t>, I</w:t>
      </w:r>
      <w:r w:rsidR="00156274" w:rsidRPr="00A84AAD">
        <w:rPr>
          <w:rFonts w:ascii="Cambria" w:hAnsi="Cambria" w:cs="Arial"/>
          <w:color w:val="000000" w:themeColor="text1"/>
          <w:shd w:val="clear" w:color="auto" w:fill="FFFFFF"/>
        </w:rPr>
        <w:t>., B</w:t>
      </w:r>
      <w:r w:rsidRPr="00A84AAD">
        <w:rPr>
          <w:rFonts w:ascii="Cambria" w:hAnsi="Cambria" w:cs="Arial"/>
          <w:color w:val="000000" w:themeColor="text1"/>
          <w:shd w:val="clear" w:color="auto" w:fill="FFFFFF"/>
        </w:rPr>
        <w:t>rown, X</w:t>
      </w:r>
      <w:r w:rsidR="00156274" w:rsidRPr="00A84AAD">
        <w:rPr>
          <w:rFonts w:ascii="Cambria" w:hAnsi="Cambria" w:cs="Arial"/>
          <w:color w:val="000000" w:themeColor="text1"/>
          <w:shd w:val="clear" w:color="auto" w:fill="FFFFFF"/>
        </w:rPr>
        <w:t xml:space="preserve">., </w:t>
      </w:r>
      <w:r w:rsidRPr="00A84AAD">
        <w:rPr>
          <w:rFonts w:ascii="Cambria" w:hAnsi="Cambria" w:cs="Arial"/>
          <w:color w:val="000000" w:themeColor="text1"/>
          <w:shd w:val="clear" w:color="auto" w:fill="FFFFFF"/>
        </w:rPr>
        <w:t>&amp; Richeson, J</w:t>
      </w:r>
      <w:r w:rsidR="00156274" w:rsidRPr="00A84AAD">
        <w:rPr>
          <w:rFonts w:ascii="Cambria" w:hAnsi="Cambria" w:cs="Arial"/>
          <w:color w:val="000000" w:themeColor="text1"/>
          <w:shd w:val="clear" w:color="auto" w:fill="FFFFFF"/>
        </w:rPr>
        <w:t xml:space="preserve">. </w:t>
      </w:r>
      <w:r w:rsidRPr="00A84AAD">
        <w:rPr>
          <w:rFonts w:ascii="Cambria" w:hAnsi="Cambria" w:cs="Arial"/>
          <w:color w:val="000000" w:themeColor="text1"/>
          <w:shd w:val="clear" w:color="auto" w:fill="FFFFFF"/>
        </w:rPr>
        <w:t xml:space="preserve">(2019). Consequences of </w:t>
      </w:r>
      <w:r w:rsidR="00156274" w:rsidRPr="00A84AAD">
        <w:rPr>
          <w:rFonts w:ascii="Cambria" w:hAnsi="Cambria" w:cs="Arial"/>
          <w:color w:val="000000" w:themeColor="text1"/>
          <w:shd w:val="clear" w:color="auto" w:fill="FFFFFF"/>
        </w:rPr>
        <w:t>a</w:t>
      </w:r>
      <w:r w:rsidRPr="00A84AAD">
        <w:rPr>
          <w:rFonts w:ascii="Cambria" w:hAnsi="Cambria" w:cs="Arial"/>
          <w:color w:val="000000" w:themeColor="text1"/>
          <w:shd w:val="clear" w:color="auto" w:fill="FFFFFF"/>
        </w:rPr>
        <w:t xml:space="preserve">ttributing </w:t>
      </w:r>
      <w:r w:rsidR="00156274" w:rsidRPr="00A84AAD">
        <w:rPr>
          <w:rFonts w:ascii="Cambria" w:hAnsi="Cambria" w:cs="Arial"/>
          <w:color w:val="000000" w:themeColor="text1"/>
          <w:shd w:val="clear" w:color="auto" w:fill="FFFFFF"/>
        </w:rPr>
        <w:t>d</w:t>
      </w:r>
      <w:r w:rsidRPr="00A84AAD">
        <w:rPr>
          <w:rFonts w:ascii="Cambria" w:hAnsi="Cambria" w:cs="Arial"/>
          <w:color w:val="000000" w:themeColor="text1"/>
          <w:shd w:val="clear" w:color="auto" w:fill="FFFFFF"/>
        </w:rPr>
        <w:t xml:space="preserve">iscrimination to </w:t>
      </w:r>
      <w:r w:rsidR="00156274" w:rsidRPr="00A84AAD">
        <w:rPr>
          <w:rFonts w:ascii="Cambria" w:hAnsi="Cambria" w:cs="Arial"/>
          <w:color w:val="000000" w:themeColor="text1"/>
          <w:shd w:val="clear" w:color="auto" w:fill="FFFFFF"/>
        </w:rPr>
        <w:t>i</w:t>
      </w:r>
      <w:r w:rsidRPr="00A84AAD">
        <w:rPr>
          <w:rFonts w:ascii="Cambria" w:hAnsi="Cambria" w:cs="Arial"/>
          <w:color w:val="000000" w:themeColor="text1"/>
          <w:shd w:val="clear" w:color="auto" w:fill="FFFFFF"/>
        </w:rPr>
        <w:t xml:space="preserve">mplicit vs. </w:t>
      </w:r>
      <w:r w:rsidR="00156274" w:rsidRPr="00A84AAD">
        <w:rPr>
          <w:rFonts w:ascii="Cambria" w:hAnsi="Cambria" w:cs="Arial"/>
          <w:color w:val="000000" w:themeColor="text1"/>
          <w:shd w:val="clear" w:color="auto" w:fill="FFFFFF"/>
        </w:rPr>
        <w:t>e</w:t>
      </w:r>
      <w:r w:rsidRPr="00A84AAD">
        <w:rPr>
          <w:rFonts w:ascii="Cambria" w:hAnsi="Cambria" w:cs="Arial"/>
          <w:color w:val="000000" w:themeColor="text1"/>
          <w:shd w:val="clear" w:color="auto" w:fill="FFFFFF"/>
        </w:rPr>
        <w:t xml:space="preserve">xplicit </w:t>
      </w:r>
      <w:r w:rsidR="00156274" w:rsidRPr="00A84AAD">
        <w:rPr>
          <w:rFonts w:ascii="Cambria" w:hAnsi="Cambria" w:cs="Arial"/>
          <w:color w:val="000000" w:themeColor="text1"/>
          <w:shd w:val="clear" w:color="auto" w:fill="FFFFFF"/>
        </w:rPr>
        <w:t>b</w:t>
      </w:r>
      <w:r w:rsidRPr="00A84AAD">
        <w:rPr>
          <w:rFonts w:ascii="Cambria" w:hAnsi="Cambria" w:cs="Arial"/>
          <w:color w:val="000000" w:themeColor="text1"/>
          <w:shd w:val="clear" w:color="auto" w:fill="FFFFFF"/>
        </w:rPr>
        <w:t>ias.</w:t>
      </w:r>
      <w:r w:rsidR="007648A4" w:rsidRPr="00A84AAD">
        <w:rPr>
          <w:rFonts w:ascii="Cambria" w:hAnsi="Cambria" w:cs="Arial"/>
          <w:color w:val="000000" w:themeColor="text1"/>
          <w:shd w:val="clear" w:color="auto" w:fill="FFFFFF"/>
        </w:rPr>
        <w:t xml:space="preserve"> </w:t>
      </w:r>
      <w:r w:rsidR="007648A4" w:rsidRPr="00DF7D19">
        <w:rPr>
          <w:rFonts w:ascii="Cambria" w:hAnsi="Cambria" w:cs="Arial"/>
          <w:i/>
          <w:iCs/>
          <w:color w:val="000000" w:themeColor="text1"/>
          <w:shd w:val="clear" w:color="auto" w:fill="FFFFFF"/>
        </w:rPr>
        <w:t>Journal of Experimental Social Psychology</w:t>
      </w:r>
      <w:r w:rsidR="00A84AAD" w:rsidRPr="00DF7D19">
        <w:rPr>
          <w:rFonts w:ascii="Cambria" w:hAnsi="Cambria" w:cs="Arial"/>
          <w:i/>
          <w:iCs/>
          <w:color w:val="000000" w:themeColor="text1"/>
          <w:shd w:val="clear" w:color="auto" w:fill="FFFFFF"/>
        </w:rPr>
        <w:t>.</w:t>
      </w:r>
      <w:r w:rsidR="007648A4" w:rsidRPr="00A84AAD">
        <w:rPr>
          <w:rFonts w:ascii="Cambria" w:hAnsi="Cambria" w:cs="Arial"/>
          <w:color w:val="000000" w:themeColor="text1"/>
          <w:shd w:val="clear" w:color="auto" w:fill="FFFFFF"/>
        </w:rPr>
        <w:t xml:space="preserve"> </w:t>
      </w:r>
      <w:hyperlink r:id="rId20" w:history="1">
        <w:r w:rsidR="004627E2" w:rsidRPr="004627E2">
          <w:rPr>
            <w:rStyle w:val="Hyperlink"/>
            <w:rFonts w:ascii="Cambria" w:hAnsi="Cambria" w:cs="Arial"/>
            <w:shd w:val="clear" w:color="auto" w:fill="FFFFFF"/>
            <w:lang w:val="es-US"/>
          </w:rPr>
          <w:t>http://dx.doi.org/10.31234/osf.io/42j7v</w:t>
        </w:r>
      </w:hyperlink>
    </w:p>
    <w:p w14:paraId="5339DDB6" w14:textId="6A46FECD"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proofErr w:type="spellStart"/>
      <w:r w:rsidRPr="00D866B8">
        <w:rPr>
          <w:rStyle w:val="normaltextrun"/>
          <w:rFonts w:ascii="Cambria" w:hAnsi="Cambria" w:cs="Segoe UI"/>
        </w:rPr>
        <w:t>DeFlitch</w:t>
      </w:r>
      <w:proofErr w:type="spellEnd"/>
      <w:r w:rsidRPr="00D866B8">
        <w:rPr>
          <w:rStyle w:val="normaltextrun"/>
          <w:rFonts w:ascii="Cambria" w:hAnsi="Cambria" w:cs="Segoe UI"/>
        </w:rPr>
        <w:t xml:space="preserve">, S. (n.d.). </w:t>
      </w:r>
      <w:r w:rsidRPr="00D866B8">
        <w:rPr>
          <w:rStyle w:val="normaltextrun"/>
          <w:rFonts w:ascii="Cambria" w:hAnsi="Cambria" w:cs="Segoe UI"/>
          <w:i/>
          <w:iCs/>
        </w:rPr>
        <w:t xml:space="preserve">Behavior-specific praise in the classroom: The complete guide. </w:t>
      </w:r>
      <w:hyperlink r:id="rId21" w:anchor="modal_module_1551829375889251" w:tgtFrame="_blank" w:history="1">
        <w:r w:rsidRPr="00D866B8">
          <w:rPr>
            <w:rStyle w:val="normaltextrun"/>
            <w:rFonts w:ascii="Cambria" w:hAnsi="Cambria" w:cs="Segoe UI"/>
            <w:color w:val="0563C1"/>
            <w:u w:val="single"/>
          </w:rPr>
          <w:t>https://www.panoramaed.com/blog/guide-to-behavior-specific-praise-in-the-classroom#modal_module_1551829375889251</w:t>
        </w:r>
      </w:hyperlink>
      <w:r w:rsidRPr="00D866B8">
        <w:rPr>
          <w:rStyle w:val="eop"/>
          <w:rFonts w:ascii="Cambria" w:hAnsi="Cambria" w:cs="Segoe UI"/>
        </w:rPr>
        <w:t> </w:t>
      </w:r>
    </w:p>
    <w:p w14:paraId="6DFB662E"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Ennis, R. P., Royer, D. J., Lane, K. L., &amp; Menzies, H. M (2018). Behavior-Specific Praise: An Effective, Efficient, Low-Intensity Strategy to Support Student Success.</w:t>
      </w:r>
      <w:r w:rsidRPr="00D866B8">
        <w:rPr>
          <w:rStyle w:val="normaltextrun"/>
          <w:rFonts w:ascii="Cambria" w:hAnsi="Cambria" w:cs="Segoe UI"/>
          <w:i/>
          <w:iCs/>
        </w:rPr>
        <w:t xml:space="preserve"> Beyond Behavior</w:t>
      </w:r>
      <w:r w:rsidRPr="00D866B8">
        <w:rPr>
          <w:rStyle w:val="normaltextrun"/>
          <w:rFonts w:ascii="Cambria" w:hAnsi="Cambria" w:cs="Segoe UI"/>
        </w:rPr>
        <w:t>,</w:t>
      </w:r>
      <w:r w:rsidRPr="00D866B8">
        <w:rPr>
          <w:rStyle w:val="normaltextrun"/>
          <w:rFonts w:ascii="Cambria" w:hAnsi="Cambria" w:cs="Segoe UI"/>
          <w:i/>
          <w:iCs/>
        </w:rPr>
        <w:t xml:space="preserve"> 27</w:t>
      </w:r>
      <w:r w:rsidRPr="00D866B8">
        <w:rPr>
          <w:rStyle w:val="normaltextrun"/>
          <w:rFonts w:ascii="Cambria" w:hAnsi="Cambria" w:cs="Segoe UI"/>
        </w:rPr>
        <w:t>(3): 107429561879858 DOI:</w:t>
      </w:r>
      <w:hyperlink r:id="rId22" w:tgtFrame="_blank" w:history="1">
        <w:r w:rsidRPr="00D866B8">
          <w:rPr>
            <w:rStyle w:val="normaltextrun"/>
            <w:rFonts w:ascii="Cambria" w:hAnsi="Cambria" w:cs="Segoe UI"/>
            <w:color w:val="0563C1"/>
            <w:u w:val="single"/>
          </w:rPr>
          <w:t>10.1177/1074295618798587</w:t>
        </w:r>
      </w:hyperlink>
      <w:r w:rsidRPr="00D866B8">
        <w:rPr>
          <w:rStyle w:val="eop"/>
          <w:rFonts w:ascii="Cambria" w:hAnsi="Cambria" w:cs="Segoe UI"/>
        </w:rPr>
        <w:t> </w:t>
      </w:r>
    </w:p>
    <w:p w14:paraId="5D486436" w14:textId="38A79ABF" w:rsidR="00B470D8" w:rsidRPr="00B470D8" w:rsidRDefault="00B470D8" w:rsidP="008F4023">
      <w:pPr>
        <w:pStyle w:val="paragraph"/>
        <w:spacing w:before="0" w:beforeAutospacing="0" w:after="80" w:afterAutospacing="0"/>
        <w:ind w:left="360" w:hanging="360"/>
        <w:textAlignment w:val="baseline"/>
        <w:rPr>
          <w:rStyle w:val="normaltextrun"/>
          <w:rFonts w:ascii="Cambria" w:hAnsi="Cambria" w:cs="Segoe UI"/>
        </w:rPr>
      </w:pPr>
      <w:r w:rsidRPr="00B470D8">
        <w:rPr>
          <w:rStyle w:val="A1"/>
          <w:rFonts w:ascii="Cambria" w:hAnsi="Cambria"/>
          <w:sz w:val="24"/>
          <w:szCs w:val="24"/>
        </w:rPr>
        <w:t xml:space="preserve">Epstein, M., Atkins, M., Cullinan, D., </w:t>
      </w:r>
      <w:proofErr w:type="spellStart"/>
      <w:r w:rsidRPr="00B470D8">
        <w:rPr>
          <w:rStyle w:val="A1"/>
          <w:rFonts w:ascii="Cambria" w:hAnsi="Cambria"/>
          <w:sz w:val="24"/>
          <w:szCs w:val="24"/>
        </w:rPr>
        <w:t>Kutash</w:t>
      </w:r>
      <w:proofErr w:type="spellEnd"/>
      <w:r w:rsidRPr="00B470D8">
        <w:rPr>
          <w:rStyle w:val="A1"/>
          <w:rFonts w:ascii="Cambria" w:hAnsi="Cambria"/>
          <w:sz w:val="24"/>
          <w:szCs w:val="24"/>
        </w:rPr>
        <w:t xml:space="preserve">, K., </w:t>
      </w:r>
      <w:r w:rsidR="003512BA">
        <w:rPr>
          <w:rStyle w:val="A1"/>
          <w:rFonts w:ascii="Cambria" w:hAnsi="Cambria"/>
          <w:sz w:val="24"/>
          <w:szCs w:val="24"/>
        </w:rPr>
        <w:t>&amp;</w:t>
      </w:r>
      <w:r w:rsidRPr="00B470D8">
        <w:rPr>
          <w:rStyle w:val="A1"/>
          <w:rFonts w:ascii="Cambria" w:hAnsi="Cambria"/>
          <w:sz w:val="24"/>
          <w:szCs w:val="24"/>
        </w:rPr>
        <w:t xml:space="preserve"> Weaver, R. (2008). </w:t>
      </w:r>
      <w:r w:rsidRPr="00B470D8">
        <w:rPr>
          <w:rStyle w:val="A1"/>
          <w:rFonts w:ascii="Cambria" w:hAnsi="Cambria"/>
          <w:i/>
          <w:iCs/>
          <w:sz w:val="24"/>
          <w:szCs w:val="24"/>
        </w:rPr>
        <w:t xml:space="preserve">Reducing </w:t>
      </w:r>
      <w:r w:rsidR="003512BA">
        <w:rPr>
          <w:rStyle w:val="A1"/>
          <w:rFonts w:ascii="Cambria" w:hAnsi="Cambria"/>
          <w:i/>
          <w:iCs/>
          <w:sz w:val="24"/>
          <w:szCs w:val="24"/>
        </w:rPr>
        <w:t>b</w:t>
      </w:r>
      <w:r w:rsidRPr="00B470D8">
        <w:rPr>
          <w:rStyle w:val="A1"/>
          <w:rFonts w:ascii="Cambria" w:hAnsi="Cambria"/>
          <w:i/>
          <w:iCs/>
          <w:sz w:val="24"/>
          <w:szCs w:val="24"/>
        </w:rPr>
        <w:t>ehav</w:t>
      </w:r>
      <w:r w:rsidRPr="00B470D8">
        <w:rPr>
          <w:rStyle w:val="A1"/>
          <w:rFonts w:ascii="Cambria" w:hAnsi="Cambria"/>
          <w:i/>
          <w:iCs/>
          <w:sz w:val="24"/>
          <w:szCs w:val="24"/>
        </w:rPr>
        <w:softHyphen/>
        <w:t xml:space="preserve">ior </w:t>
      </w:r>
      <w:r w:rsidR="003512BA">
        <w:rPr>
          <w:rStyle w:val="A1"/>
          <w:rFonts w:ascii="Cambria" w:hAnsi="Cambria"/>
          <w:i/>
          <w:iCs/>
          <w:sz w:val="24"/>
          <w:szCs w:val="24"/>
        </w:rPr>
        <w:t>p</w:t>
      </w:r>
      <w:r w:rsidRPr="00B470D8">
        <w:rPr>
          <w:rStyle w:val="A1"/>
          <w:rFonts w:ascii="Cambria" w:hAnsi="Cambria"/>
          <w:i/>
          <w:iCs/>
          <w:sz w:val="24"/>
          <w:szCs w:val="24"/>
        </w:rPr>
        <w:t xml:space="preserve">roblems in the </w:t>
      </w:r>
      <w:r w:rsidR="003512BA">
        <w:rPr>
          <w:rStyle w:val="A1"/>
          <w:rFonts w:ascii="Cambria" w:hAnsi="Cambria"/>
          <w:i/>
          <w:iCs/>
          <w:sz w:val="24"/>
          <w:szCs w:val="24"/>
        </w:rPr>
        <w:t>e</w:t>
      </w:r>
      <w:r w:rsidRPr="00B470D8">
        <w:rPr>
          <w:rStyle w:val="A1"/>
          <w:rFonts w:ascii="Cambria" w:hAnsi="Cambria"/>
          <w:i/>
          <w:iCs/>
          <w:sz w:val="24"/>
          <w:szCs w:val="24"/>
        </w:rPr>
        <w:t xml:space="preserve">lementary </w:t>
      </w:r>
      <w:r w:rsidR="003512BA">
        <w:rPr>
          <w:rStyle w:val="A1"/>
          <w:rFonts w:ascii="Cambria" w:hAnsi="Cambria"/>
          <w:i/>
          <w:iCs/>
          <w:sz w:val="24"/>
          <w:szCs w:val="24"/>
        </w:rPr>
        <w:t>s</w:t>
      </w:r>
      <w:r w:rsidRPr="00B470D8">
        <w:rPr>
          <w:rStyle w:val="A1"/>
          <w:rFonts w:ascii="Cambria" w:hAnsi="Cambria"/>
          <w:i/>
          <w:iCs/>
          <w:sz w:val="24"/>
          <w:szCs w:val="24"/>
        </w:rPr>
        <w:t xml:space="preserve">chool </w:t>
      </w:r>
      <w:r w:rsidR="003512BA">
        <w:rPr>
          <w:rStyle w:val="A1"/>
          <w:rFonts w:ascii="Cambria" w:hAnsi="Cambria"/>
          <w:i/>
          <w:iCs/>
          <w:sz w:val="24"/>
          <w:szCs w:val="24"/>
        </w:rPr>
        <w:t>c</w:t>
      </w:r>
      <w:r w:rsidRPr="00B470D8">
        <w:rPr>
          <w:rStyle w:val="A1"/>
          <w:rFonts w:ascii="Cambria" w:hAnsi="Cambria"/>
          <w:i/>
          <w:iCs/>
          <w:sz w:val="24"/>
          <w:szCs w:val="24"/>
        </w:rPr>
        <w:t xml:space="preserve">lassroom: A </w:t>
      </w:r>
      <w:r w:rsidR="003512BA">
        <w:rPr>
          <w:rStyle w:val="A1"/>
          <w:rFonts w:ascii="Cambria" w:hAnsi="Cambria"/>
          <w:i/>
          <w:iCs/>
          <w:sz w:val="24"/>
          <w:szCs w:val="24"/>
        </w:rPr>
        <w:t>p</w:t>
      </w:r>
      <w:r w:rsidRPr="00B470D8">
        <w:rPr>
          <w:rStyle w:val="A1"/>
          <w:rFonts w:ascii="Cambria" w:hAnsi="Cambria"/>
          <w:i/>
          <w:iCs/>
          <w:sz w:val="24"/>
          <w:szCs w:val="24"/>
        </w:rPr>
        <w:t xml:space="preserve">ractice </w:t>
      </w:r>
      <w:r w:rsidR="003512BA">
        <w:rPr>
          <w:rStyle w:val="A1"/>
          <w:rFonts w:ascii="Cambria" w:hAnsi="Cambria"/>
          <w:i/>
          <w:iCs/>
          <w:sz w:val="24"/>
          <w:szCs w:val="24"/>
        </w:rPr>
        <w:t>g</w:t>
      </w:r>
      <w:r w:rsidRPr="00B470D8">
        <w:rPr>
          <w:rStyle w:val="A1"/>
          <w:rFonts w:ascii="Cambria" w:hAnsi="Cambria"/>
          <w:i/>
          <w:iCs/>
          <w:sz w:val="24"/>
          <w:szCs w:val="24"/>
        </w:rPr>
        <w:t xml:space="preserve">uide </w:t>
      </w:r>
      <w:r w:rsidRPr="00B470D8">
        <w:rPr>
          <w:rStyle w:val="A1"/>
          <w:rFonts w:ascii="Cambria" w:hAnsi="Cambria"/>
          <w:sz w:val="24"/>
          <w:szCs w:val="24"/>
        </w:rPr>
        <w:t xml:space="preserve">(NCEE #2008-012). Washington, DC: National Center for Education Evaluation and Regional Assistance, Institute of Education Sciences, U.S. Department of Education. Retrieved from </w:t>
      </w:r>
      <w:hyperlink r:id="rId23" w:history="1">
        <w:r w:rsidRPr="00C636EF">
          <w:rPr>
            <w:rStyle w:val="Hyperlink"/>
            <w:rFonts w:ascii="Cambria" w:hAnsi="Cambria" w:cs="Lucida Std"/>
          </w:rPr>
          <w:t>http://ies.ed.gov/ncee/wwc/publications/practiceguides</w:t>
        </w:r>
      </w:hyperlink>
    </w:p>
    <w:p w14:paraId="608BF576" w14:textId="443A97A2"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Fuchs, L.S., Fuchs, D. &amp; Malone, A.S. (2017)</w:t>
      </w:r>
      <w:r w:rsidR="00D921FC">
        <w:rPr>
          <w:rStyle w:val="normaltextrun"/>
          <w:rFonts w:ascii="Cambria" w:hAnsi="Cambria" w:cs="Segoe UI"/>
        </w:rPr>
        <w:t>.</w:t>
      </w:r>
      <w:r w:rsidRPr="00D866B8">
        <w:rPr>
          <w:rStyle w:val="normaltextrun"/>
          <w:rFonts w:ascii="Cambria" w:hAnsi="Cambria" w:cs="Segoe UI"/>
        </w:rPr>
        <w:t xml:space="preserve"> The </w:t>
      </w:r>
      <w:r w:rsidR="00B470D8">
        <w:rPr>
          <w:rStyle w:val="normaltextrun"/>
          <w:rFonts w:ascii="Cambria" w:hAnsi="Cambria" w:cs="Segoe UI"/>
        </w:rPr>
        <w:t>t</w:t>
      </w:r>
      <w:r w:rsidRPr="00D866B8">
        <w:rPr>
          <w:rStyle w:val="normaltextrun"/>
          <w:rFonts w:ascii="Cambria" w:hAnsi="Cambria" w:cs="Segoe UI"/>
        </w:rPr>
        <w:t xml:space="preserve">axonomy of </w:t>
      </w:r>
      <w:r w:rsidR="00B470D8">
        <w:rPr>
          <w:rStyle w:val="normaltextrun"/>
          <w:rFonts w:ascii="Cambria" w:hAnsi="Cambria" w:cs="Segoe UI"/>
        </w:rPr>
        <w:t>i</w:t>
      </w:r>
      <w:r w:rsidRPr="00D866B8">
        <w:rPr>
          <w:rStyle w:val="normaltextrun"/>
          <w:rFonts w:ascii="Cambria" w:hAnsi="Cambria" w:cs="Segoe UI"/>
        </w:rPr>
        <w:t xml:space="preserve">ntervention </w:t>
      </w:r>
      <w:r w:rsidR="00B470D8">
        <w:rPr>
          <w:rStyle w:val="normaltextrun"/>
          <w:rFonts w:ascii="Cambria" w:hAnsi="Cambria" w:cs="Segoe UI"/>
        </w:rPr>
        <w:t>i</w:t>
      </w:r>
      <w:r w:rsidRPr="00D866B8">
        <w:rPr>
          <w:rStyle w:val="normaltextrun"/>
          <w:rFonts w:ascii="Cambria" w:hAnsi="Cambria" w:cs="Segoe UI"/>
        </w:rPr>
        <w:t xml:space="preserve">ntensity. </w:t>
      </w:r>
      <w:r w:rsidRPr="00D866B8">
        <w:rPr>
          <w:rStyle w:val="normaltextrun"/>
          <w:rFonts w:ascii="Cambria" w:hAnsi="Cambria" w:cs="Segoe UI"/>
          <w:i/>
          <w:iCs/>
        </w:rPr>
        <w:t>Teaching Exceptional Children</w:t>
      </w:r>
      <w:r w:rsidRPr="00D866B8">
        <w:rPr>
          <w:rStyle w:val="normaltextrun"/>
          <w:rFonts w:ascii="Cambria" w:hAnsi="Cambria" w:cs="Segoe UI"/>
        </w:rPr>
        <w:t xml:space="preserve">, </w:t>
      </w:r>
      <w:r w:rsidRPr="00D866B8">
        <w:rPr>
          <w:rStyle w:val="normaltextrun"/>
          <w:rFonts w:ascii="Cambria" w:hAnsi="Cambria" w:cs="Segoe UI"/>
          <w:i/>
          <w:iCs/>
        </w:rPr>
        <w:t>50</w:t>
      </w:r>
      <w:r w:rsidRPr="00D866B8">
        <w:rPr>
          <w:rStyle w:val="normaltextrun"/>
          <w:rFonts w:ascii="Cambria" w:hAnsi="Cambria" w:cs="Segoe UI"/>
        </w:rPr>
        <w:t xml:space="preserve">(1), 35–43. </w:t>
      </w:r>
      <w:hyperlink r:id="rId24" w:tgtFrame="_blank" w:history="1">
        <w:r w:rsidRPr="00D866B8">
          <w:rPr>
            <w:rStyle w:val="normaltextrun"/>
            <w:rFonts w:ascii="Cambria" w:hAnsi="Cambria" w:cs="Segoe UI"/>
            <w:color w:val="0563C1"/>
            <w:u w:val="single"/>
          </w:rPr>
          <w:t>https://files.eric.ed.gov/fulltext/EJ1160167.pdf</w:t>
        </w:r>
      </w:hyperlink>
      <w:r w:rsidRPr="00D866B8">
        <w:rPr>
          <w:rStyle w:val="eop"/>
          <w:rFonts w:ascii="Cambria" w:hAnsi="Cambria" w:cs="Segoe UI"/>
        </w:rPr>
        <w:t> </w:t>
      </w:r>
    </w:p>
    <w:p w14:paraId="7454885B"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Garbacz, S. A., Hirano, K., McIntosh, K., Eagle, J. W., Minch, D. R., &amp; Vatland, C. (2018). Family engagement in schoolwide positive behavioral interventions and supports: Barriers and facilitators to implementation. </w:t>
      </w:r>
      <w:r w:rsidRPr="00D866B8">
        <w:rPr>
          <w:rStyle w:val="normaltextrun"/>
          <w:rFonts w:ascii="Cambria" w:hAnsi="Cambria" w:cs="Segoe UI"/>
          <w:i/>
          <w:iCs/>
        </w:rPr>
        <w:t>School Psychology Quarterly, 33</w:t>
      </w:r>
      <w:r w:rsidRPr="00D866B8">
        <w:rPr>
          <w:rStyle w:val="normaltextrun"/>
          <w:rFonts w:ascii="Cambria" w:hAnsi="Cambria" w:cs="Segoe UI"/>
        </w:rPr>
        <w:t xml:space="preserve">(3), 448–459. </w:t>
      </w:r>
      <w:hyperlink r:id="rId25" w:tgtFrame="_blank" w:history="1">
        <w:r w:rsidRPr="00D866B8">
          <w:rPr>
            <w:rStyle w:val="normaltextrun"/>
            <w:rFonts w:ascii="Cambria" w:hAnsi="Cambria" w:cs="Segoe UI"/>
            <w:color w:val="0563C1"/>
            <w:u w:val="single"/>
          </w:rPr>
          <w:t>https://doi.org/10.1037/spq0000216</w:t>
        </w:r>
      </w:hyperlink>
      <w:r w:rsidRPr="00D866B8">
        <w:rPr>
          <w:rStyle w:val="eop"/>
          <w:rFonts w:ascii="Cambria" w:hAnsi="Cambria" w:cs="Segoe UI"/>
        </w:rPr>
        <w:t> </w:t>
      </w:r>
    </w:p>
    <w:p w14:paraId="69FFF8C0"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Goodman, J. F., &amp; Cook, B. I. (2019). Shaming School Children: A Violation of Fundamental Rights? </w:t>
      </w:r>
      <w:r w:rsidRPr="00D866B8">
        <w:rPr>
          <w:rStyle w:val="normaltextrun"/>
          <w:rFonts w:ascii="Cambria" w:hAnsi="Cambria" w:cs="Segoe UI"/>
          <w:i/>
          <w:iCs/>
        </w:rPr>
        <w:t>Theory and Research in Education</w:t>
      </w:r>
      <w:r w:rsidRPr="00D866B8">
        <w:rPr>
          <w:rStyle w:val="normaltextrun"/>
          <w:rFonts w:ascii="Cambria" w:hAnsi="Cambria" w:cs="Segoe UI"/>
        </w:rPr>
        <w:t xml:space="preserve">, </w:t>
      </w:r>
      <w:r w:rsidRPr="00D866B8">
        <w:rPr>
          <w:rStyle w:val="normaltextrun"/>
          <w:rFonts w:ascii="Cambria" w:hAnsi="Cambria" w:cs="Segoe UI"/>
          <w:i/>
          <w:iCs/>
        </w:rPr>
        <w:t>17</w:t>
      </w:r>
      <w:r w:rsidRPr="00D866B8">
        <w:rPr>
          <w:rStyle w:val="normaltextrun"/>
          <w:rFonts w:ascii="Cambria" w:hAnsi="Cambria" w:cs="Segoe UI"/>
        </w:rPr>
        <w:t xml:space="preserve">(1). </w:t>
      </w:r>
      <w:hyperlink r:id="rId26" w:tgtFrame="_blank" w:history="1">
        <w:r w:rsidRPr="00D866B8">
          <w:rPr>
            <w:rStyle w:val="normaltextrun"/>
            <w:rFonts w:ascii="Cambria" w:hAnsi="Cambria" w:cs="Segoe UI"/>
            <w:color w:val="0563C1"/>
            <w:u w:val="single"/>
          </w:rPr>
          <w:t>https://doi.org/10.1177/1477878518817377</w:t>
        </w:r>
      </w:hyperlink>
      <w:r w:rsidRPr="00D866B8">
        <w:rPr>
          <w:rStyle w:val="eop"/>
          <w:rFonts w:ascii="Cambria" w:hAnsi="Cambria" w:cs="Segoe UI"/>
        </w:rPr>
        <w:t> </w:t>
      </w:r>
    </w:p>
    <w:p w14:paraId="1BF6DAF5" w14:textId="06C7BB16"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Harvard Education.</w:t>
      </w:r>
      <w:r w:rsidR="00A92C5B">
        <w:rPr>
          <w:rStyle w:val="normaltextrun"/>
          <w:rFonts w:ascii="Cambria" w:hAnsi="Cambria" w:cs="Segoe UI"/>
        </w:rPr>
        <w:t xml:space="preserve"> (n.d.)</w:t>
      </w:r>
      <w:r w:rsidRPr="00D866B8">
        <w:rPr>
          <w:rStyle w:val="normaltextrun"/>
          <w:rFonts w:ascii="Cambria" w:hAnsi="Cambria" w:cs="Segoe UI"/>
        </w:rPr>
        <w:t xml:space="preserve"> </w:t>
      </w:r>
      <w:r w:rsidRPr="00D866B8">
        <w:rPr>
          <w:rStyle w:val="normaltextrun"/>
          <w:rFonts w:ascii="Cambria" w:hAnsi="Cambria" w:cs="Segoe UI"/>
          <w:i/>
          <w:iCs/>
        </w:rPr>
        <w:t>Project Implicit</w:t>
      </w:r>
      <w:r w:rsidRPr="00D866B8">
        <w:rPr>
          <w:rStyle w:val="normaltextrun"/>
          <w:rFonts w:ascii="Cambria" w:hAnsi="Cambria" w:cs="Segoe UI"/>
        </w:rPr>
        <w:t xml:space="preserve">. </w:t>
      </w:r>
      <w:hyperlink r:id="rId27" w:tgtFrame="_blank" w:history="1">
        <w:r w:rsidRPr="00D866B8">
          <w:rPr>
            <w:rStyle w:val="normaltextrun"/>
            <w:rFonts w:ascii="Cambria" w:hAnsi="Cambria" w:cs="Segoe UI"/>
            <w:color w:val="0563C1"/>
            <w:u w:val="single"/>
          </w:rPr>
          <w:t>https://implicit.harvard.edu/implicit/takeatest.html</w:t>
        </w:r>
      </w:hyperlink>
      <w:r w:rsidRPr="00D866B8">
        <w:rPr>
          <w:rStyle w:val="eop"/>
          <w:rFonts w:ascii="Cambria" w:hAnsi="Cambria" w:cs="Segoe UI"/>
        </w:rPr>
        <w:t> </w:t>
      </w:r>
    </w:p>
    <w:p w14:paraId="7CA89234" w14:textId="23B71451" w:rsidR="00543C50" w:rsidRPr="00543C50" w:rsidRDefault="00543C50" w:rsidP="008F4023">
      <w:pPr>
        <w:pStyle w:val="paragraph"/>
        <w:spacing w:before="0" w:beforeAutospacing="0" w:after="80" w:afterAutospacing="0"/>
        <w:ind w:left="360" w:hanging="360"/>
        <w:textAlignment w:val="baseline"/>
        <w:rPr>
          <w:rStyle w:val="normaltextrun"/>
          <w:rFonts w:ascii="Cambria" w:hAnsi="Cambria" w:cs="Segoe UI"/>
        </w:rPr>
      </w:pPr>
      <w:r>
        <w:rPr>
          <w:rStyle w:val="normaltextrun"/>
          <w:rFonts w:ascii="Cambria" w:hAnsi="Cambria" w:cs="Segoe UI"/>
        </w:rPr>
        <w:t xml:space="preserve">Heaney, </w:t>
      </w:r>
      <w:r w:rsidR="00C53B23">
        <w:rPr>
          <w:rStyle w:val="normaltextrun"/>
          <w:rFonts w:ascii="Cambria" w:hAnsi="Cambria" w:cs="Segoe UI"/>
        </w:rPr>
        <w:t>K</w:t>
      </w:r>
      <w:r>
        <w:rPr>
          <w:rStyle w:val="normaltextrun"/>
          <w:rFonts w:ascii="Cambria" w:hAnsi="Cambria" w:cs="Segoe UI"/>
        </w:rPr>
        <w:t xml:space="preserve">. (2017). </w:t>
      </w:r>
      <w:r w:rsidRPr="00A55278">
        <w:rPr>
          <w:rStyle w:val="normaltextrun"/>
          <w:rFonts w:ascii="Cambria" w:hAnsi="Cambria" w:cs="Segoe UI"/>
        </w:rPr>
        <w:t>When stress makes you fall asleep.</w:t>
      </w:r>
      <w:r w:rsidR="00C53B23">
        <w:rPr>
          <w:rStyle w:val="normaltextrun"/>
          <w:rFonts w:ascii="Cambria" w:hAnsi="Cambria" w:cs="Segoe UI"/>
          <w:i/>
          <w:iCs/>
        </w:rPr>
        <w:t xml:space="preserve"> The Cut. </w:t>
      </w:r>
      <w:hyperlink r:id="rId28" w:history="1">
        <w:r w:rsidR="00A55278" w:rsidRPr="00A55278">
          <w:rPr>
            <w:rStyle w:val="Hyperlink"/>
            <w:rFonts w:ascii="Cambria" w:hAnsi="Cambria" w:cs="Segoe UI"/>
          </w:rPr>
          <w:t>https://www.thecut.com/2017/07/when-stress-makes-you-fall-asleep.html</w:t>
        </w:r>
      </w:hyperlink>
      <w:r w:rsidR="00A55278" w:rsidRPr="00A55278">
        <w:rPr>
          <w:rStyle w:val="normaltextrun"/>
          <w:rFonts w:ascii="Cambria" w:hAnsi="Cambria" w:cs="Segoe UI"/>
        </w:rPr>
        <w:t xml:space="preserve"> </w:t>
      </w:r>
      <w:r w:rsidRPr="00A55278">
        <w:rPr>
          <w:rStyle w:val="normaltextrun"/>
          <w:rFonts w:ascii="Cambria" w:hAnsi="Cambria" w:cs="Segoe UI"/>
        </w:rPr>
        <w:t xml:space="preserve"> </w:t>
      </w:r>
    </w:p>
    <w:p w14:paraId="683AB07C" w14:textId="09D2F25D"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Hydon, S., Wong, M., Langley, A. K., Stein, B. D., &amp; Kataoka, S. H. (2015). Preventing secondary traumatic stress in educators. </w:t>
      </w:r>
      <w:r w:rsidRPr="00D866B8">
        <w:rPr>
          <w:rStyle w:val="normaltextrun"/>
          <w:rFonts w:ascii="Cambria" w:hAnsi="Cambria" w:cs="Segoe UI"/>
          <w:i/>
          <w:iCs/>
        </w:rPr>
        <w:t>Child and Adolescent Psychiatric Clinics, 24</w:t>
      </w:r>
      <w:r w:rsidRPr="00D866B8">
        <w:rPr>
          <w:rStyle w:val="normaltextrun"/>
          <w:rFonts w:ascii="Cambria" w:hAnsi="Cambria" w:cs="Segoe UI"/>
        </w:rPr>
        <w:t xml:space="preserve">(2), 319–333. </w:t>
      </w:r>
      <w:hyperlink r:id="rId29" w:tgtFrame="_blank" w:history="1">
        <w:r w:rsidRPr="00D866B8">
          <w:rPr>
            <w:rStyle w:val="normaltextrun"/>
            <w:rFonts w:ascii="Cambria" w:hAnsi="Cambria" w:cs="Segoe UI"/>
            <w:color w:val="0563C1"/>
            <w:u w:val="single"/>
          </w:rPr>
          <w:t>https://www.childpsych.theclinics.com/article/S1056-4993(14)00112-6/abstract</w:t>
        </w:r>
      </w:hyperlink>
      <w:r w:rsidRPr="00D866B8">
        <w:rPr>
          <w:rStyle w:val="eop"/>
          <w:rFonts w:ascii="Cambria" w:hAnsi="Cambria" w:cs="Segoe UI"/>
          <w:color w:val="0563C1"/>
        </w:rPr>
        <w:t> </w:t>
      </w:r>
    </w:p>
    <w:p w14:paraId="2E9169D4"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Li F. (2022) Impact of COVID-19 on the lives and mental health of children and adolescents. </w:t>
      </w:r>
      <w:r w:rsidRPr="00D866B8">
        <w:rPr>
          <w:rStyle w:val="normaltextrun"/>
          <w:rFonts w:ascii="Cambria" w:hAnsi="Cambria" w:cs="Segoe UI"/>
          <w:i/>
          <w:iCs/>
        </w:rPr>
        <w:t>Front Public Health</w:t>
      </w:r>
      <w:r w:rsidRPr="00D866B8">
        <w:rPr>
          <w:rStyle w:val="normaltextrun"/>
          <w:rFonts w:ascii="Cambria" w:hAnsi="Cambria" w:cs="Segoe UI"/>
        </w:rPr>
        <w:t xml:space="preserve">, </w:t>
      </w:r>
      <w:r w:rsidRPr="00D866B8">
        <w:rPr>
          <w:rStyle w:val="normaltextrun"/>
          <w:rFonts w:ascii="Cambria" w:hAnsi="Cambria" w:cs="Segoe UI"/>
          <w:i/>
          <w:iCs/>
        </w:rPr>
        <w:t>10</w:t>
      </w:r>
      <w:r w:rsidRPr="00D866B8">
        <w:rPr>
          <w:rStyle w:val="normaltextrun"/>
          <w:rFonts w:ascii="Cambria" w:hAnsi="Cambria" w:cs="Segoe UI"/>
        </w:rPr>
        <w:t>: 925213.</w:t>
      </w:r>
      <w:r w:rsidRPr="00D866B8">
        <w:rPr>
          <w:rStyle w:val="normaltextrun"/>
          <w:rFonts w:ascii="Cambria" w:hAnsi="Cambria" w:cs="Segoe UI"/>
          <w:i/>
          <w:iCs/>
        </w:rPr>
        <w:t xml:space="preserve"> </w:t>
      </w:r>
      <w:hyperlink r:id="rId30" w:tgtFrame="_blank" w:history="1">
        <w:proofErr w:type="spellStart"/>
        <w:r w:rsidRPr="00D866B8">
          <w:rPr>
            <w:rStyle w:val="normaltextrun"/>
            <w:rFonts w:ascii="Cambria" w:hAnsi="Cambria" w:cs="Segoe UI"/>
            <w:color w:val="0563C1"/>
            <w:u w:val="single"/>
          </w:rPr>
          <w:t>doi</w:t>
        </w:r>
        <w:proofErr w:type="spellEnd"/>
        <w:r w:rsidRPr="00D866B8">
          <w:rPr>
            <w:rStyle w:val="normaltextrun"/>
            <w:rFonts w:ascii="Cambria" w:hAnsi="Cambria" w:cs="Segoe UI"/>
            <w:color w:val="0563C1"/>
            <w:u w:val="single"/>
          </w:rPr>
          <w:t>: 10.3389/fpubh.2022.925213</w:t>
        </w:r>
      </w:hyperlink>
      <w:r w:rsidRPr="00D866B8">
        <w:rPr>
          <w:rStyle w:val="eop"/>
          <w:rFonts w:ascii="Cambria" w:hAnsi="Cambria" w:cs="Segoe UI"/>
        </w:rPr>
        <w:t> </w:t>
      </w:r>
    </w:p>
    <w:p w14:paraId="1B95A942"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lastRenderedPageBreak/>
        <w:t>Iovannone, R., Anderson, C., &amp; Scott, T. (2017). Understanding setting events: What they are and how to identify them</w:t>
      </w:r>
      <w:r w:rsidRPr="00D866B8">
        <w:rPr>
          <w:rStyle w:val="normaltextrun"/>
          <w:rFonts w:ascii="Cambria" w:hAnsi="Cambria" w:cs="Segoe UI"/>
          <w:i/>
          <w:iCs/>
        </w:rPr>
        <w:t>. Beyond Behavior, 26</w:t>
      </w:r>
      <w:r w:rsidRPr="00D866B8">
        <w:rPr>
          <w:rStyle w:val="normaltextrun"/>
          <w:rFonts w:ascii="Cambria" w:hAnsi="Cambria" w:cs="Segoe UI"/>
        </w:rPr>
        <w:t xml:space="preserve">(3), 105–112. </w:t>
      </w:r>
      <w:hyperlink r:id="rId31" w:tgtFrame="_blank" w:history="1">
        <w:r w:rsidRPr="00D866B8">
          <w:rPr>
            <w:rStyle w:val="normaltextrun"/>
            <w:rFonts w:ascii="Cambria" w:hAnsi="Cambria" w:cs="Segoe UI"/>
            <w:color w:val="0563C1"/>
            <w:u w:val="single"/>
          </w:rPr>
          <w:t>https://journals.sagepub.com/doi/10.1177/1074295617729795</w:t>
        </w:r>
      </w:hyperlink>
      <w:r w:rsidRPr="00D866B8">
        <w:rPr>
          <w:rStyle w:val="eop"/>
          <w:rFonts w:ascii="Cambria" w:hAnsi="Cambria" w:cs="Segoe UI"/>
        </w:rPr>
        <w:t> </w:t>
      </w:r>
    </w:p>
    <w:p w14:paraId="578B0824"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lang w:val="fr-FR"/>
        </w:rPr>
      </w:pPr>
      <w:r w:rsidRPr="00D866B8">
        <w:rPr>
          <w:rStyle w:val="normaltextrun"/>
          <w:rFonts w:ascii="Cambria" w:hAnsi="Cambria" w:cs="Segoe UI"/>
        </w:rPr>
        <w:t xml:space="preserve">Jones, C. (2017, November 1). Suspension, expulsion rates fall sharply in California, but racial and ethnic disparities remain. </w:t>
      </w:r>
      <w:proofErr w:type="spellStart"/>
      <w:r w:rsidRPr="00D866B8">
        <w:rPr>
          <w:rStyle w:val="normaltextrun"/>
          <w:rFonts w:ascii="Cambria" w:hAnsi="Cambria" w:cs="Segoe UI"/>
          <w:i/>
          <w:iCs/>
          <w:lang w:val="fr-FR"/>
        </w:rPr>
        <w:t>EdSource</w:t>
      </w:r>
      <w:proofErr w:type="spellEnd"/>
      <w:r w:rsidRPr="00D866B8">
        <w:rPr>
          <w:rStyle w:val="normaltextrun"/>
          <w:rFonts w:ascii="Cambria" w:hAnsi="Cambria" w:cs="Segoe UI"/>
          <w:i/>
          <w:iCs/>
          <w:lang w:val="fr-FR"/>
        </w:rPr>
        <w:t xml:space="preserve">. </w:t>
      </w:r>
      <w:hyperlink r:id="rId32" w:tgtFrame="_blank" w:history="1">
        <w:r w:rsidRPr="00D866B8">
          <w:rPr>
            <w:rStyle w:val="normaltextrun"/>
            <w:rFonts w:ascii="Cambria" w:hAnsi="Cambria" w:cs="Segoe UI"/>
            <w:color w:val="0563C1"/>
            <w:u w:val="single"/>
            <w:lang w:val="fr-FR"/>
          </w:rPr>
          <w:t>https://edsource.org/2017/suspension-expulsion-rates-fall-sharply-in-california-public-schools-butracial-disparities-remain/589722</w:t>
        </w:r>
      </w:hyperlink>
      <w:r w:rsidRPr="00D866B8">
        <w:rPr>
          <w:rStyle w:val="eop"/>
          <w:rFonts w:ascii="Cambria" w:hAnsi="Cambria" w:cs="Segoe UI"/>
          <w:lang w:val="fr-FR"/>
        </w:rPr>
        <w:t> </w:t>
      </w:r>
    </w:p>
    <w:p w14:paraId="0BC42BA4"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lang w:val="fr-FR"/>
        </w:rPr>
        <w:t xml:space="preserve">Lodi E., </w:t>
      </w:r>
      <w:proofErr w:type="spellStart"/>
      <w:r w:rsidRPr="00D866B8">
        <w:rPr>
          <w:rStyle w:val="normaltextrun"/>
          <w:rFonts w:ascii="Cambria" w:hAnsi="Cambria" w:cs="Segoe UI"/>
          <w:lang w:val="fr-FR"/>
        </w:rPr>
        <w:t>Perrella</w:t>
      </w:r>
      <w:proofErr w:type="spellEnd"/>
      <w:r w:rsidRPr="00D866B8">
        <w:rPr>
          <w:rStyle w:val="normaltextrun"/>
          <w:rFonts w:ascii="Cambria" w:hAnsi="Cambria" w:cs="Segoe UI"/>
          <w:lang w:val="fr-FR"/>
        </w:rPr>
        <w:t xml:space="preserve">, L., </w:t>
      </w:r>
      <w:proofErr w:type="spellStart"/>
      <w:r w:rsidRPr="00D866B8">
        <w:rPr>
          <w:rStyle w:val="normaltextrun"/>
          <w:rFonts w:ascii="Cambria" w:hAnsi="Cambria" w:cs="Segoe UI"/>
          <w:lang w:val="fr-FR"/>
        </w:rPr>
        <w:t>Lepri</w:t>
      </w:r>
      <w:proofErr w:type="spellEnd"/>
      <w:r w:rsidRPr="00D866B8">
        <w:rPr>
          <w:rStyle w:val="normaltextrun"/>
          <w:rFonts w:ascii="Cambria" w:hAnsi="Cambria" w:cs="Segoe UI"/>
          <w:lang w:val="fr-FR"/>
        </w:rPr>
        <w:t xml:space="preserve">, G.L., Scarpa, M. L., &amp; </w:t>
      </w:r>
      <w:proofErr w:type="spellStart"/>
      <w:r w:rsidRPr="00D866B8">
        <w:rPr>
          <w:rStyle w:val="normaltextrun"/>
          <w:rFonts w:ascii="Cambria" w:hAnsi="Cambria" w:cs="Segoe UI"/>
          <w:lang w:val="fr-FR"/>
        </w:rPr>
        <w:t>Patrizi</w:t>
      </w:r>
      <w:proofErr w:type="spellEnd"/>
      <w:r w:rsidRPr="00D866B8">
        <w:rPr>
          <w:rStyle w:val="normaltextrun"/>
          <w:rFonts w:ascii="Cambria" w:hAnsi="Cambria" w:cs="Segoe UI"/>
          <w:lang w:val="fr-FR"/>
        </w:rPr>
        <w:t xml:space="preserve">, P. (2021). </w:t>
      </w:r>
      <w:r w:rsidRPr="00D866B8">
        <w:rPr>
          <w:rStyle w:val="normaltextrun"/>
          <w:rFonts w:ascii="Cambria" w:hAnsi="Cambria" w:cs="Segoe UI"/>
        </w:rPr>
        <w:t xml:space="preserve">Use of restorative justice and restorative practices at school: A systematic literature review. Int J Environ Res Public Health, </w:t>
      </w:r>
      <w:r w:rsidRPr="00D866B8">
        <w:rPr>
          <w:rStyle w:val="normaltextrun"/>
          <w:rFonts w:ascii="Cambria" w:hAnsi="Cambria" w:cs="Segoe UI"/>
          <w:i/>
          <w:iCs/>
        </w:rPr>
        <w:t>19</w:t>
      </w:r>
      <w:r w:rsidRPr="00D866B8">
        <w:rPr>
          <w:rStyle w:val="normaltextrun"/>
          <w:rFonts w:ascii="Cambria" w:hAnsi="Cambria" w:cs="Segoe UI"/>
        </w:rPr>
        <w:t xml:space="preserve">(1), 96. </w:t>
      </w:r>
      <w:proofErr w:type="spellStart"/>
      <w:r w:rsidRPr="00D866B8">
        <w:rPr>
          <w:rStyle w:val="normaltextrun"/>
          <w:rFonts w:ascii="Cambria" w:hAnsi="Cambria" w:cs="Segoe UI"/>
        </w:rPr>
        <w:t>doi</w:t>
      </w:r>
      <w:proofErr w:type="spellEnd"/>
      <w:r w:rsidRPr="00D866B8">
        <w:rPr>
          <w:rStyle w:val="normaltextrun"/>
          <w:rFonts w:ascii="Cambria" w:hAnsi="Cambria" w:cs="Segoe UI"/>
        </w:rPr>
        <w:t>: 10.3390/ijerph19010096. PMID: 35010355; PMCID: PMC8751228</w:t>
      </w:r>
      <w:r w:rsidRPr="00D866B8">
        <w:rPr>
          <w:rStyle w:val="eop"/>
          <w:rFonts w:ascii="Cambria" w:hAnsi="Cambria" w:cs="Segoe UI"/>
        </w:rPr>
        <w:t> </w:t>
      </w:r>
    </w:p>
    <w:p w14:paraId="7FCAEEE4" w14:textId="77777777" w:rsidR="00D866B8" w:rsidRDefault="00D866B8" w:rsidP="008F4023">
      <w:pPr>
        <w:pStyle w:val="paragraph"/>
        <w:spacing w:before="0" w:beforeAutospacing="0" w:after="80" w:afterAutospacing="0"/>
        <w:ind w:left="360" w:hanging="360"/>
        <w:textAlignment w:val="baseline"/>
        <w:rPr>
          <w:rStyle w:val="eop"/>
          <w:rFonts w:ascii="Cambria" w:hAnsi="Cambria" w:cs="Segoe UI"/>
        </w:rPr>
      </w:pPr>
      <w:r w:rsidRPr="00D866B8">
        <w:rPr>
          <w:rStyle w:val="normaltextrun"/>
          <w:rFonts w:ascii="Cambria" w:hAnsi="Cambria" w:cs="Segoe UI"/>
        </w:rPr>
        <w:t xml:space="preserve">Losen, D. J., &amp; Martinz, T. E. (2013). </w:t>
      </w:r>
      <w:r w:rsidRPr="00D866B8">
        <w:rPr>
          <w:rStyle w:val="normaltextrun"/>
          <w:rFonts w:ascii="Cambria" w:hAnsi="Cambria" w:cs="Segoe UI"/>
          <w:i/>
          <w:iCs/>
        </w:rPr>
        <w:t xml:space="preserve">Out of school and off track: The overuse of suspensions in American middle and high schools. </w:t>
      </w:r>
      <w:r w:rsidRPr="00D866B8">
        <w:rPr>
          <w:rStyle w:val="normaltextrun"/>
          <w:rFonts w:ascii="Cambria" w:hAnsi="Cambria" w:cs="Segoe UI"/>
        </w:rPr>
        <w:t>Los Angeles: The Center for Civil Rights Remedies at the Civil Rights Project of UCLA.</w:t>
      </w:r>
      <w:r w:rsidRPr="00D866B8">
        <w:rPr>
          <w:rStyle w:val="eop"/>
          <w:rFonts w:ascii="Cambria" w:hAnsi="Cambria" w:cs="Segoe UI"/>
        </w:rPr>
        <w:t> </w:t>
      </w:r>
    </w:p>
    <w:p w14:paraId="0A1C1D08" w14:textId="2A20D480" w:rsidR="00A34913" w:rsidRPr="00326984" w:rsidRDefault="00A34913" w:rsidP="008F4023">
      <w:pPr>
        <w:pStyle w:val="BodyText"/>
        <w:ind w:left="360" w:hanging="360"/>
        <w:rPr>
          <w:rFonts w:cs="Segoe UI"/>
          <w:color w:val="000000" w:themeColor="text1"/>
        </w:rPr>
      </w:pPr>
      <w:r w:rsidRPr="00662F77">
        <w:rPr>
          <w:rStyle w:val="field-content"/>
          <w:color w:val="333333"/>
          <w:shd w:val="clear" w:color="auto" w:fill="FFFFFF"/>
        </w:rPr>
        <w:t>Dee, T., &amp; Gershenson, S.</w:t>
      </w:r>
      <w:r w:rsidRPr="00662F77">
        <w:rPr>
          <w:shd w:val="clear" w:color="auto" w:fill="FFFFFF"/>
        </w:rPr>
        <w:t> (2017). </w:t>
      </w:r>
      <w:r w:rsidRPr="00662F77">
        <w:rPr>
          <w:rStyle w:val="field-content"/>
          <w:color w:val="333333"/>
          <w:shd w:val="clear" w:color="auto" w:fill="FFFFFF"/>
        </w:rPr>
        <w:t xml:space="preserve">Unconscious </w:t>
      </w:r>
      <w:r w:rsidR="00662F77">
        <w:rPr>
          <w:rStyle w:val="field-content"/>
          <w:color w:val="333333"/>
          <w:shd w:val="clear" w:color="auto" w:fill="FFFFFF"/>
        </w:rPr>
        <w:t>b</w:t>
      </w:r>
      <w:r w:rsidRPr="00662F77">
        <w:rPr>
          <w:rStyle w:val="field-content"/>
          <w:color w:val="333333"/>
          <w:shd w:val="clear" w:color="auto" w:fill="FFFFFF"/>
        </w:rPr>
        <w:t xml:space="preserve">ias in the </w:t>
      </w:r>
      <w:r w:rsidR="00662F77">
        <w:rPr>
          <w:rStyle w:val="field-content"/>
          <w:color w:val="333333"/>
          <w:shd w:val="clear" w:color="auto" w:fill="FFFFFF"/>
        </w:rPr>
        <w:t>c</w:t>
      </w:r>
      <w:r w:rsidRPr="00662F77">
        <w:rPr>
          <w:rStyle w:val="field-content"/>
          <w:color w:val="333333"/>
          <w:shd w:val="clear" w:color="auto" w:fill="FFFFFF"/>
        </w:rPr>
        <w:t xml:space="preserve">lassroom: Evidence and </w:t>
      </w:r>
      <w:r w:rsidR="00662F77">
        <w:rPr>
          <w:rStyle w:val="field-content"/>
          <w:color w:val="333333"/>
          <w:shd w:val="clear" w:color="auto" w:fill="FFFFFF"/>
        </w:rPr>
        <w:t>o</w:t>
      </w:r>
      <w:r w:rsidRPr="00662F77">
        <w:rPr>
          <w:rStyle w:val="field-content"/>
          <w:color w:val="333333"/>
          <w:shd w:val="clear" w:color="auto" w:fill="FFFFFF"/>
        </w:rPr>
        <w:t>pportunities</w:t>
      </w:r>
      <w:r w:rsidRPr="00662F77">
        <w:rPr>
          <w:rStyle w:val="Emphasis"/>
          <w:color w:val="333333"/>
          <w:shd w:val="clear" w:color="auto" w:fill="FFFFFF"/>
        </w:rPr>
        <w:t>. Google</w:t>
      </w:r>
      <w:r w:rsidR="00662F77">
        <w:rPr>
          <w:rStyle w:val="Emphasis"/>
          <w:color w:val="333333"/>
          <w:shd w:val="clear" w:color="auto" w:fill="FFFFFF"/>
        </w:rPr>
        <w:t>’</w:t>
      </w:r>
      <w:r w:rsidRPr="00662F77">
        <w:rPr>
          <w:rStyle w:val="Emphasis"/>
          <w:color w:val="333333"/>
          <w:shd w:val="clear" w:color="auto" w:fill="FFFFFF"/>
        </w:rPr>
        <w:t>s Computer Science Education Research</w:t>
      </w:r>
      <w:r w:rsidRPr="00662F77">
        <w:rPr>
          <w:shd w:val="clear" w:color="auto" w:fill="FFFFFF"/>
        </w:rPr>
        <w:t>.</w:t>
      </w:r>
      <w:r w:rsidR="00326984">
        <w:rPr>
          <w:shd w:val="clear" w:color="auto" w:fill="FFFFFF"/>
        </w:rPr>
        <w:t xml:space="preserve"> </w:t>
      </w:r>
      <w:hyperlink r:id="rId33" w:tgtFrame="_blank" w:history="1">
        <w:r w:rsidR="00326984" w:rsidRPr="00326984">
          <w:rPr>
            <w:rStyle w:val="Hyperlink"/>
            <w:color w:val="000000" w:themeColor="text1"/>
            <w:shd w:val="clear" w:color="auto" w:fill="FFFFFF"/>
          </w:rPr>
          <w:t>https://goo.gl/O6Btqi</w:t>
        </w:r>
      </w:hyperlink>
      <w:r w:rsidR="00326984" w:rsidRPr="00326984">
        <w:rPr>
          <w:color w:val="000000" w:themeColor="text1"/>
        </w:rPr>
        <w:t xml:space="preserve"> </w:t>
      </w:r>
    </w:p>
    <w:p w14:paraId="36E252F7"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Marsh, C. (2019). Honoring the Global Indigenous Roots of Restorative Justice: Potential Restorative Approaches for Child Welfare</w:t>
      </w:r>
      <w:r w:rsidRPr="00D866B8">
        <w:rPr>
          <w:rStyle w:val="normaltextrun"/>
          <w:rFonts w:ascii="Cambria" w:hAnsi="Cambria" w:cs="Segoe UI"/>
          <w:b/>
          <w:bCs/>
        </w:rPr>
        <w:t xml:space="preserve">. </w:t>
      </w:r>
      <w:r w:rsidRPr="00D866B8">
        <w:rPr>
          <w:rStyle w:val="normaltextrun"/>
          <w:rFonts w:ascii="Cambria" w:hAnsi="Cambria" w:cs="Segoe UI"/>
          <w:i/>
          <w:iCs/>
        </w:rPr>
        <w:t>Center for the Study of Social Policy</w:t>
      </w:r>
      <w:r w:rsidRPr="00D866B8">
        <w:rPr>
          <w:rStyle w:val="normaltextrun"/>
          <w:rFonts w:ascii="Cambria" w:hAnsi="Cambria" w:cs="Segoe UI"/>
        </w:rPr>
        <w:t xml:space="preserve">. November 1, 2019. </w:t>
      </w:r>
      <w:hyperlink r:id="rId34" w:tgtFrame="_blank" w:history="1">
        <w:r w:rsidRPr="00D866B8">
          <w:rPr>
            <w:rStyle w:val="normaltextrun"/>
            <w:rFonts w:ascii="Cambria" w:hAnsi="Cambria" w:cs="Segoe UI"/>
            <w:color w:val="0563C1"/>
            <w:u w:val="single"/>
          </w:rPr>
          <w:t>https://cssp.org/2019/11/honoring-the-global-indigenous-roots-of-restorative-justice/</w:t>
        </w:r>
      </w:hyperlink>
      <w:r w:rsidRPr="00D866B8">
        <w:rPr>
          <w:rStyle w:val="eop"/>
          <w:rFonts w:ascii="Cambria" w:hAnsi="Cambria" w:cs="Segoe UI"/>
        </w:rPr>
        <w:t> </w:t>
      </w:r>
    </w:p>
    <w:p w14:paraId="2395A1CD"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Nese, R. N. T., Nese, J. F. T., McCroskey, C., Meng, P., Triplett, D., &amp; Bastable, E. (2021). Moving away from disproportionate exclusionary discipline: Developing and utilizing a continuum of preventative and instructional supports. Preventing School Failure, </w:t>
      </w:r>
      <w:r w:rsidRPr="00D866B8">
        <w:rPr>
          <w:rStyle w:val="normaltextrun"/>
          <w:rFonts w:ascii="Cambria" w:hAnsi="Cambria" w:cs="Segoe UI"/>
          <w:i/>
          <w:iCs/>
        </w:rPr>
        <w:t>65</w:t>
      </w:r>
      <w:r w:rsidRPr="00D866B8">
        <w:rPr>
          <w:rStyle w:val="normaltextrun"/>
          <w:rFonts w:ascii="Cambria" w:hAnsi="Cambria" w:cs="Segoe UI"/>
        </w:rPr>
        <w:t>(4).</w:t>
      </w:r>
      <w:r w:rsidRPr="00D866B8">
        <w:rPr>
          <w:rStyle w:val="eop"/>
          <w:rFonts w:ascii="Cambria" w:hAnsi="Cambria" w:cs="Segoe UI"/>
        </w:rPr>
        <w:t> </w:t>
      </w:r>
    </w:p>
    <w:p w14:paraId="3E6D07AB"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National Center on Intensive Intervention (NCII). (n.d.) </w:t>
      </w:r>
      <w:r w:rsidRPr="00D866B8">
        <w:rPr>
          <w:rStyle w:val="normaltextrun"/>
          <w:rFonts w:ascii="Cambria" w:hAnsi="Cambria" w:cs="Segoe UI"/>
          <w:i/>
          <w:iCs/>
        </w:rPr>
        <w:t>Behavior Basics: Understanding Principles of Behavior.</w:t>
      </w:r>
      <w:r w:rsidRPr="00D866B8">
        <w:rPr>
          <w:rStyle w:val="normaltextrun"/>
          <w:rFonts w:ascii="Cambria" w:hAnsi="Cambria" w:cs="Segoe UI"/>
        </w:rPr>
        <w:t xml:space="preserve"> </w:t>
      </w:r>
      <w:hyperlink r:id="rId35" w:tgtFrame="_blank" w:history="1">
        <w:r w:rsidRPr="00D866B8">
          <w:rPr>
            <w:rStyle w:val="normaltextrun"/>
            <w:rFonts w:ascii="Cambria" w:hAnsi="Cambria" w:cs="Segoe UI"/>
            <w:color w:val="0563C1"/>
            <w:u w:val="single"/>
          </w:rPr>
          <w:t>https://intensiveintervention.org/resource/behavior-basics</w:t>
        </w:r>
      </w:hyperlink>
      <w:r w:rsidRPr="00D866B8">
        <w:rPr>
          <w:rStyle w:val="normaltextrun"/>
          <w:rFonts w:ascii="Cambria" w:hAnsi="Cambria" w:cs="Segoe UI"/>
        </w:rPr>
        <w:t>.</w:t>
      </w:r>
      <w:r w:rsidRPr="00D866B8">
        <w:rPr>
          <w:rStyle w:val="eop"/>
          <w:rFonts w:ascii="Cambria" w:hAnsi="Cambria" w:cs="Segoe UI"/>
        </w:rPr>
        <w:t> </w:t>
      </w:r>
    </w:p>
    <w:p w14:paraId="77CC0EEC"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National Child Traumatic Stress Network (NCTSN). (n.d.) </w:t>
      </w:r>
      <w:r w:rsidRPr="00D866B8">
        <w:rPr>
          <w:rStyle w:val="normaltextrun"/>
          <w:rFonts w:ascii="Cambria" w:hAnsi="Cambria" w:cs="Segoe UI"/>
          <w:i/>
          <w:iCs/>
        </w:rPr>
        <w:t xml:space="preserve">Secondary Traumatic Stress. </w:t>
      </w:r>
      <w:hyperlink r:id="rId36" w:tgtFrame="_blank" w:history="1">
        <w:r w:rsidRPr="00D866B8">
          <w:rPr>
            <w:rStyle w:val="normaltextrun"/>
            <w:rFonts w:ascii="Cambria" w:hAnsi="Cambria" w:cs="Segoe UI"/>
            <w:color w:val="0563C1"/>
            <w:u w:val="single"/>
          </w:rPr>
          <w:t>https://www.nctsn.org/trauma-informed-care/secondary-traumatic-stress</w:t>
        </w:r>
      </w:hyperlink>
      <w:r w:rsidRPr="00D866B8">
        <w:rPr>
          <w:rStyle w:val="normaltextrun"/>
          <w:rFonts w:ascii="Cambria" w:hAnsi="Cambria" w:cs="Segoe UI"/>
        </w:rPr>
        <w:t>.</w:t>
      </w:r>
      <w:r w:rsidRPr="00D866B8">
        <w:rPr>
          <w:rStyle w:val="eop"/>
          <w:rFonts w:ascii="Cambria" w:hAnsi="Cambria" w:cs="Segoe UI"/>
        </w:rPr>
        <w:t> </w:t>
      </w:r>
    </w:p>
    <w:p w14:paraId="6A6571D6"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Resler, M. R. (2017). Facing the facts: Trauma-informed schools. </w:t>
      </w:r>
      <w:r w:rsidRPr="00D866B8">
        <w:rPr>
          <w:rStyle w:val="normaltextrun"/>
          <w:rFonts w:ascii="Cambria" w:hAnsi="Cambria" w:cs="Segoe UI"/>
          <w:i/>
          <w:iCs/>
        </w:rPr>
        <w:t>Richmond, VA: Family &amp; Children’s Trust Fund of Virginia.</w:t>
      </w:r>
      <w:r w:rsidRPr="00D866B8">
        <w:rPr>
          <w:rStyle w:val="normaltextrun"/>
          <w:rFonts w:ascii="Cambria" w:hAnsi="Cambria" w:cs="Segoe UI"/>
        </w:rPr>
        <w:t xml:space="preserve"> </w:t>
      </w:r>
      <w:hyperlink r:id="rId37" w:tgtFrame="_blank" w:history="1">
        <w:r w:rsidRPr="00D866B8">
          <w:rPr>
            <w:rStyle w:val="normaltextrun"/>
            <w:rFonts w:ascii="Cambria" w:hAnsi="Cambria" w:cs="Segoe UI"/>
            <w:color w:val="0563C1"/>
            <w:u w:val="single"/>
          </w:rPr>
          <w:t>https://www.fact.virginia.gov/wp-content/uploads/2017/04/FACT-ISSUE-BRIEF-TRAUMA-INFORMED-SCHOOLS-final1.pdf</w:t>
        </w:r>
      </w:hyperlink>
      <w:r w:rsidRPr="00D866B8">
        <w:rPr>
          <w:rStyle w:val="normaltextrun"/>
          <w:rFonts w:ascii="Cambria" w:hAnsi="Cambria" w:cs="Segoe UI"/>
        </w:rPr>
        <w:t>.</w:t>
      </w:r>
      <w:r w:rsidRPr="00D866B8">
        <w:rPr>
          <w:rStyle w:val="eop"/>
          <w:rFonts w:ascii="Cambria" w:hAnsi="Cambria" w:cs="Segoe UI"/>
        </w:rPr>
        <w:t> </w:t>
      </w:r>
    </w:p>
    <w:p w14:paraId="50CD138E"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Rimm-Kaufman, S., &amp; </w:t>
      </w:r>
      <w:proofErr w:type="spellStart"/>
      <w:r w:rsidRPr="00D866B8">
        <w:rPr>
          <w:rStyle w:val="normaltextrun"/>
          <w:rFonts w:ascii="Cambria" w:hAnsi="Cambria" w:cs="Segoe UI"/>
        </w:rPr>
        <w:t>Sandilos</w:t>
      </w:r>
      <w:proofErr w:type="spellEnd"/>
      <w:r w:rsidRPr="00D866B8">
        <w:rPr>
          <w:rStyle w:val="normaltextrun"/>
          <w:rFonts w:ascii="Cambria" w:hAnsi="Cambria" w:cs="Segoe UI"/>
        </w:rPr>
        <w:t xml:space="preserve">, L. (2023). Improving Students’ Relationships with Teachers to Provide Essential Supports for Learning. </w:t>
      </w:r>
      <w:r w:rsidRPr="00D866B8">
        <w:rPr>
          <w:rStyle w:val="normaltextrun"/>
          <w:rFonts w:ascii="Cambria" w:hAnsi="Cambria" w:cs="Segoe UI"/>
          <w:i/>
          <w:iCs/>
        </w:rPr>
        <w:t xml:space="preserve">American Psychological Association. </w:t>
      </w:r>
      <w:hyperlink r:id="rId38" w:tgtFrame="_blank" w:history="1">
        <w:r w:rsidRPr="00D866B8">
          <w:rPr>
            <w:rStyle w:val="normaltextrun"/>
            <w:rFonts w:ascii="Cambria" w:hAnsi="Cambria" w:cs="Segoe UI"/>
            <w:color w:val="0563C1"/>
            <w:u w:val="single"/>
          </w:rPr>
          <w:t>https://www.apa.org/education-career/k12/relationships</w:t>
        </w:r>
      </w:hyperlink>
      <w:r w:rsidRPr="00D866B8">
        <w:rPr>
          <w:rStyle w:val="normaltextrun"/>
          <w:rFonts w:ascii="Cambria" w:hAnsi="Cambria" w:cs="Segoe UI"/>
        </w:rPr>
        <w:t>.</w:t>
      </w:r>
      <w:r w:rsidRPr="00D866B8">
        <w:rPr>
          <w:rStyle w:val="eop"/>
          <w:rFonts w:ascii="Cambria" w:hAnsi="Cambria" w:cs="Segoe UI"/>
        </w:rPr>
        <w:t> </w:t>
      </w:r>
    </w:p>
    <w:p w14:paraId="66740F3E" w14:textId="3BA1573B" w:rsidR="00D866B8" w:rsidRPr="00576B31"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 Robinson, D. H., Funk, D. C., Beth, A., &amp; Bush, A. M. (2005). Changing beliefs about corporal punishment: Increasing knowledge about ineffectiveness to build more consistent moral and informational beliefs. </w:t>
      </w:r>
      <w:r w:rsidRPr="00D866B8">
        <w:rPr>
          <w:rStyle w:val="normaltextrun"/>
          <w:rFonts w:ascii="Cambria" w:hAnsi="Cambria" w:cs="Segoe UI"/>
          <w:i/>
          <w:iCs/>
        </w:rPr>
        <w:t>Journal of Behavioral Education (jibe)</w:t>
      </w:r>
      <w:r w:rsidRPr="00D866B8">
        <w:rPr>
          <w:rStyle w:val="normaltextrun"/>
          <w:rFonts w:ascii="Cambria" w:hAnsi="Cambria" w:cs="Segoe UI"/>
        </w:rPr>
        <w:t xml:space="preserve">, </w:t>
      </w:r>
      <w:r w:rsidRPr="00D866B8">
        <w:rPr>
          <w:rStyle w:val="normaltextrun"/>
          <w:rFonts w:ascii="Cambria" w:hAnsi="Cambria" w:cs="Segoe UI"/>
          <w:i/>
          <w:iCs/>
        </w:rPr>
        <w:t>14</w:t>
      </w:r>
      <w:r w:rsidRPr="00D866B8">
        <w:rPr>
          <w:rStyle w:val="normaltextrun"/>
          <w:rFonts w:ascii="Cambria" w:hAnsi="Cambria" w:cs="Segoe UI"/>
        </w:rPr>
        <w:t>(2), 117–13</w:t>
      </w:r>
      <w:r w:rsidRPr="00576B31">
        <w:rPr>
          <w:rStyle w:val="normaltextrun"/>
          <w:rFonts w:ascii="Cambria" w:hAnsi="Cambria" w:cs="Segoe UI"/>
        </w:rPr>
        <w:t xml:space="preserve">9. </w:t>
      </w:r>
      <w:hyperlink r:id="rId39" w:history="1">
        <w:r w:rsidR="00576B31" w:rsidRPr="00576B31">
          <w:rPr>
            <w:rStyle w:val="Hyperlink"/>
            <w:rFonts w:ascii="Cambria" w:hAnsi="Cambria"/>
            <w:shd w:val="clear" w:color="auto" w:fill="FFFFFF"/>
          </w:rPr>
          <w:t>https://doi.org/10.1007/s10864-005-2706-9</w:t>
        </w:r>
      </w:hyperlink>
      <w:r w:rsidR="00576B31" w:rsidRPr="00576B31">
        <w:rPr>
          <w:rFonts w:ascii="Cambria" w:hAnsi="Cambria"/>
          <w:color w:val="222222"/>
          <w:shd w:val="clear" w:color="auto" w:fill="FFFFFF"/>
        </w:rPr>
        <w:t xml:space="preserve"> </w:t>
      </w:r>
    </w:p>
    <w:p w14:paraId="0D79A381" w14:textId="3854BEEC"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Sanders, J., Joseph, McCatty, A.J., Massey, M., Swiatek, E., Csiernik, B., &amp; Igor, E. (2023) Exposure to </w:t>
      </w:r>
      <w:r w:rsidR="003A13D3">
        <w:rPr>
          <w:rStyle w:val="normaltextrun"/>
          <w:rFonts w:ascii="Cambria" w:hAnsi="Cambria" w:cs="Segoe UI"/>
        </w:rPr>
        <w:t>a</w:t>
      </w:r>
      <w:r w:rsidRPr="00D866B8">
        <w:rPr>
          <w:rStyle w:val="normaltextrun"/>
          <w:rFonts w:ascii="Cambria" w:hAnsi="Cambria" w:cs="Segoe UI"/>
        </w:rPr>
        <w:t xml:space="preserve">dversity and </w:t>
      </w:r>
      <w:r w:rsidR="003A13D3">
        <w:rPr>
          <w:rStyle w:val="normaltextrun"/>
          <w:rFonts w:ascii="Cambria" w:hAnsi="Cambria" w:cs="Segoe UI"/>
        </w:rPr>
        <w:t>t</w:t>
      </w:r>
      <w:r w:rsidRPr="00D866B8">
        <w:rPr>
          <w:rStyle w:val="normaltextrun"/>
          <w:rFonts w:ascii="Cambria" w:hAnsi="Cambria" w:cs="Segoe UI"/>
        </w:rPr>
        <w:t xml:space="preserve">rauma </w:t>
      </w:r>
      <w:r w:rsidR="003A13D3">
        <w:rPr>
          <w:rStyle w:val="normaltextrun"/>
          <w:rFonts w:ascii="Cambria" w:hAnsi="Cambria" w:cs="Segoe UI"/>
        </w:rPr>
        <w:t>a</w:t>
      </w:r>
      <w:r w:rsidRPr="00D866B8">
        <w:rPr>
          <w:rStyle w:val="normaltextrun"/>
          <w:rFonts w:ascii="Cambria" w:hAnsi="Cambria" w:cs="Segoe UI"/>
        </w:rPr>
        <w:t xml:space="preserve">mong </w:t>
      </w:r>
      <w:r w:rsidR="003A13D3">
        <w:rPr>
          <w:rStyle w:val="normaltextrun"/>
          <w:rFonts w:ascii="Cambria" w:hAnsi="Cambria" w:cs="Segoe UI"/>
        </w:rPr>
        <w:t>s</w:t>
      </w:r>
      <w:r w:rsidRPr="00D866B8">
        <w:rPr>
          <w:rStyle w:val="normaltextrun"/>
          <w:rFonts w:ascii="Cambria" w:hAnsi="Cambria" w:cs="Segoe UI"/>
        </w:rPr>
        <w:t xml:space="preserve">tudents </w:t>
      </w:r>
      <w:r w:rsidR="003A13D3">
        <w:rPr>
          <w:rStyle w:val="normaltextrun"/>
          <w:rFonts w:ascii="Cambria" w:hAnsi="Cambria" w:cs="Segoe UI"/>
        </w:rPr>
        <w:t>w</w:t>
      </w:r>
      <w:r w:rsidRPr="00D866B8">
        <w:rPr>
          <w:rStyle w:val="normaltextrun"/>
          <w:rFonts w:ascii="Cambria" w:hAnsi="Cambria" w:cs="Segoe UI"/>
        </w:rPr>
        <w:t xml:space="preserve">ho </w:t>
      </w:r>
      <w:r w:rsidR="003A13D3">
        <w:rPr>
          <w:rStyle w:val="normaltextrun"/>
          <w:rFonts w:ascii="Cambria" w:hAnsi="Cambria" w:cs="Segoe UI"/>
        </w:rPr>
        <w:t>e</w:t>
      </w:r>
      <w:r w:rsidRPr="00D866B8">
        <w:rPr>
          <w:rStyle w:val="normaltextrun"/>
          <w:rFonts w:ascii="Cambria" w:hAnsi="Cambria" w:cs="Segoe UI"/>
        </w:rPr>
        <w:t xml:space="preserve">xperience </w:t>
      </w:r>
      <w:r w:rsidR="003A13D3">
        <w:rPr>
          <w:rStyle w:val="normaltextrun"/>
          <w:rFonts w:ascii="Cambria" w:hAnsi="Cambria" w:cs="Segoe UI"/>
        </w:rPr>
        <w:t>s</w:t>
      </w:r>
      <w:r w:rsidRPr="00D866B8">
        <w:rPr>
          <w:rStyle w:val="normaltextrun"/>
          <w:rFonts w:ascii="Cambria" w:hAnsi="Cambria" w:cs="Segoe UI"/>
        </w:rPr>
        <w:t xml:space="preserve">chool </w:t>
      </w:r>
      <w:r w:rsidR="003A13D3">
        <w:rPr>
          <w:rStyle w:val="normaltextrun"/>
          <w:rFonts w:ascii="Cambria" w:hAnsi="Cambria" w:cs="Segoe UI"/>
        </w:rPr>
        <w:t>d</w:t>
      </w:r>
      <w:r w:rsidRPr="00D866B8">
        <w:rPr>
          <w:rStyle w:val="normaltextrun"/>
          <w:rFonts w:ascii="Cambria" w:hAnsi="Cambria" w:cs="Segoe UI"/>
        </w:rPr>
        <w:t xml:space="preserve">iscipline: A </w:t>
      </w:r>
      <w:r w:rsidR="003A13D3">
        <w:rPr>
          <w:rStyle w:val="normaltextrun"/>
          <w:rFonts w:ascii="Cambria" w:hAnsi="Cambria" w:cs="Segoe UI"/>
        </w:rPr>
        <w:t>s</w:t>
      </w:r>
      <w:r w:rsidRPr="00D866B8">
        <w:rPr>
          <w:rStyle w:val="normaltextrun"/>
          <w:rFonts w:ascii="Cambria" w:hAnsi="Cambria" w:cs="Segoe UI"/>
        </w:rPr>
        <w:t xml:space="preserve">coping </w:t>
      </w:r>
      <w:r w:rsidR="003A13D3">
        <w:rPr>
          <w:rStyle w:val="normaltextrun"/>
          <w:rFonts w:ascii="Cambria" w:hAnsi="Cambria" w:cs="Segoe UI"/>
        </w:rPr>
        <w:t>r</w:t>
      </w:r>
      <w:r w:rsidRPr="00D866B8">
        <w:rPr>
          <w:rStyle w:val="normaltextrun"/>
          <w:rFonts w:ascii="Cambria" w:hAnsi="Cambria" w:cs="Segoe UI"/>
        </w:rPr>
        <w:t xml:space="preserve">eview. </w:t>
      </w:r>
      <w:r w:rsidRPr="00D866B8">
        <w:rPr>
          <w:rStyle w:val="normaltextrun"/>
          <w:rFonts w:ascii="Cambria" w:hAnsi="Cambria" w:cs="Segoe UI"/>
          <w:i/>
          <w:iCs/>
        </w:rPr>
        <w:t>Review of Educational Research</w:t>
      </w:r>
      <w:r w:rsidRPr="00D866B8">
        <w:rPr>
          <w:rStyle w:val="normaltextrun"/>
          <w:rFonts w:ascii="Cambria" w:hAnsi="Cambria" w:cs="Segoe UI"/>
          <w:color w:val="333333"/>
          <w:shd w:val="clear" w:color="auto" w:fill="FFFFFF"/>
        </w:rPr>
        <w:t xml:space="preserve">. </w:t>
      </w:r>
      <w:hyperlink r:id="rId40" w:tgtFrame="_blank" w:history="1">
        <w:r w:rsidRPr="00D866B8">
          <w:rPr>
            <w:rStyle w:val="normaltextrun"/>
            <w:rFonts w:ascii="Cambria" w:hAnsi="Cambria" w:cs="Segoe UI"/>
            <w:color w:val="006ACC"/>
            <w:u w:val="single"/>
            <w:shd w:val="clear" w:color="auto" w:fill="FFFFFF"/>
          </w:rPr>
          <w:t>https://doi.org/10.3102/00346543231203674</w:t>
        </w:r>
      </w:hyperlink>
      <w:r w:rsidRPr="00D866B8">
        <w:rPr>
          <w:rStyle w:val="eop"/>
          <w:rFonts w:ascii="Cambria" w:hAnsi="Cambria" w:cs="Segoe UI"/>
        </w:rPr>
        <w:t> </w:t>
      </w:r>
    </w:p>
    <w:p w14:paraId="0E824782" w14:textId="5F4A4194"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Schott Foundation for Public Education</w:t>
      </w:r>
      <w:r w:rsidR="003A13D3">
        <w:rPr>
          <w:rStyle w:val="normaltextrun"/>
          <w:rFonts w:ascii="Cambria" w:hAnsi="Cambria" w:cs="Segoe UI"/>
        </w:rPr>
        <w:t>.</w:t>
      </w:r>
      <w:r w:rsidRPr="00D866B8">
        <w:rPr>
          <w:rStyle w:val="normaltextrun"/>
          <w:rFonts w:ascii="Cambria" w:hAnsi="Cambria" w:cs="Segoe UI"/>
        </w:rPr>
        <w:t xml:space="preserve"> (2024).</w:t>
      </w:r>
      <w:r w:rsidRPr="00D866B8">
        <w:rPr>
          <w:rStyle w:val="normaltextrun"/>
          <w:rFonts w:ascii="Cambria" w:hAnsi="Cambria" w:cs="Segoe UI"/>
          <w:i/>
          <w:iCs/>
        </w:rPr>
        <w:t xml:space="preserve"> Restorative practices: Fostering healthy relationships and promoting positive discipline in schools: A guide for educators. </w:t>
      </w:r>
      <w:hyperlink r:id="rId41" w:tgtFrame="_blank" w:history="1">
        <w:r w:rsidRPr="00D866B8">
          <w:rPr>
            <w:rStyle w:val="normaltextrun"/>
            <w:rFonts w:ascii="Cambria" w:hAnsi="Cambria" w:cs="Segoe UI"/>
            <w:color w:val="0563C1"/>
            <w:u w:val="single"/>
          </w:rPr>
          <w:t>https://schottfoundation.org/wp-content/uploads/restorative-practices-guide.pdf</w:t>
        </w:r>
      </w:hyperlink>
      <w:r w:rsidRPr="00D866B8">
        <w:rPr>
          <w:rStyle w:val="eop"/>
          <w:rFonts w:ascii="Cambria" w:hAnsi="Cambria" w:cs="Segoe UI"/>
        </w:rPr>
        <w:t> </w:t>
      </w:r>
    </w:p>
    <w:p w14:paraId="10679667" w14:textId="19A92A2B"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lang w:val="es-US"/>
        </w:rPr>
        <w:lastRenderedPageBreak/>
        <w:t xml:space="preserve">Skiba, R. J., Michael, R. S., Nardo, A. C., &amp; Peterson, R. L. (2002). </w:t>
      </w:r>
      <w:r w:rsidRPr="00D866B8">
        <w:rPr>
          <w:rStyle w:val="normaltextrun"/>
          <w:rFonts w:ascii="Cambria" w:hAnsi="Cambria" w:cs="Segoe UI"/>
        </w:rPr>
        <w:t xml:space="preserve">The color of discipline: Sources of racial and gender disproportionality in school punishment. </w:t>
      </w:r>
      <w:r w:rsidRPr="00D866B8">
        <w:rPr>
          <w:rStyle w:val="normaltextrun"/>
          <w:rFonts w:ascii="Cambria" w:hAnsi="Cambria" w:cs="Segoe UI"/>
          <w:i/>
          <w:iCs/>
        </w:rPr>
        <w:t>The Urban Review, 34</w:t>
      </w:r>
      <w:r w:rsidRPr="00D866B8">
        <w:rPr>
          <w:rStyle w:val="normaltextrun"/>
          <w:rFonts w:ascii="Cambria" w:hAnsi="Cambria" w:cs="Segoe UI"/>
        </w:rPr>
        <w:t>(4), 317–342</w:t>
      </w:r>
      <w:r w:rsidR="00201FF2">
        <w:rPr>
          <w:rStyle w:val="normaltextrun"/>
          <w:rFonts w:ascii="Cambria" w:hAnsi="Cambria" w:cs="Segoe UI"/>
        </w:rPr>
        <w:t>.</w:t>
      </w:r>
      <w:r w:rsidRPr="00D866B8">
        <w:rPr>
          <w:rStyle w:val="normaltextrun"/>
          <w:rFonts w:ascii="Cambria" w:hAnsi="Cambria" w:cs="Segoe UI"/>
        </w:rPr>
        <w:t xml:space="preserve"> </w:t>
      </w:r>
      <w:hyperlink r:id="rId42" w:tgtFrame="_blank" w:history="1">
        <w:r w:rsidRPr="00D866B8">
          <w:rPr>
            <w:rStyle w:val="normaltextrun"/>
            <w:rFonts w:ascii="Cambria" w:hAnsi="Cambria" w:cs="Segoe UI"/>
            <w:color w:val="0563C1"/>
            <w:u w:val="single"/>
          </w:rPr>
          <w:t>https://doi.org/10.1023/A:1021320817372</w:t>
        </w:r>
      </w:hyperlink>
      <w:r w:rsidRPr="00D866B8">
        <w:rPr>
          <w:rStyle w:val="eop"/>
          <w:rFonts w:ascii="Cambria" w:hAnsi="Cambria" w:cs="Segoe UI"/>
        </w:rPr>
        <w:t> </w:t>
      </w:r>
    </w:p>
    <w:p w14:paraId="7101B8F1" w14:textId="7A255909"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 xml:space="preserve">Valdebenito, S., Speyer, L., Murray, A.L., </w:t>
      </w:r>
      <w:proofErr w:type="spellStart"/>
      <w:r w:rsidRPr="00D866B8">
        <w:rPr>
          <w:rStyle w:val="normaltextrun"/>
          <w:rFonts w:ascii="Cambria" w:hAnsi="Cambria" w:cs="Segoe UI"/>
        </w:rPr>
        <w:t>Ribeaud</w:t>
      </w:r>
      <w:proofErr w:type="spellEnd"/>
      <w:r w:rsidRPr="00D866B8">
        <w:rPr>
          <w:rStyle w:val="normaltextrun"/>
          <w:rFonts w:ascii="Cambria" w:hAnsi="Cambria" w:cs="Segoe UI"/>
        </w:rPr>
        <w:t>, D., &amp; Eisner M. (2022). Associations between student-teacher bonds and oppositional behavior against teachers in adolescence: A longitudinal analysis from ages 11 to 15.</w:t>
      </w:r>
      <w:r w:rsidRPr="00D866B8">
        <w:rPr>
          <w:rStyle w:val="normaltextrun"/>
          <w:rFonts w:ascii="Cambria" w:hAnsi="Cambria" w:cs="Segoe UI"/>
          <w:i/>
          <w:iCs/>
        </w:rPr>
        <w:t xml:space="preserve"> Journal of Youth and Adolescence</w:t>
      </w:r>
      <w:r w:rsidRPr="00D866B8">
        <w:rPr>
          <w:rStyle w:val="normaltextrun"/>
          <w:rFonts w:ascii="Cambria" w:hAnsi="Cambria" w:cs="Segoe UI"/>
        </w:rPr>
        <w:t xml:space="preserve">, </w:t>
      </w:r>
      <w:r w:rsidRPr="00D866B8">
        <w:rPr>
          <w:rStyle w:val="normaltextrun"/>
          <w:rFonts w:ascii="Cambria" w:hAnsi="Cambria" w:cs="Segoe UI"/>
          <w:i/>
          <w:iCs/>
        </w:rPr>
        <w:t>51</w:t>
      </w:r>
      <w:r w:rsidRPr="00D866B8">
        <w:rPr>
          <w:rStyle w:val="normaltextrun"/>
          <w:rFonts w:ascii="Cambria" w:hAnsi="Cambria" w:cs="Segoe UI"/>
        </w:rPr>
        <w:t xml:space="preserve">(10), 1997–2007. </w:t>
      </w:r>
      <w:hyperlink r:id="rId43" w:history="1">
        <w:r w:rsidR="006C1AF7" w:rsidRPr="00C636EF">
          <w:rPr>
            <w:rStyle w:val="Hyperlink"/>
            <w:rFonts w:ascii="Cambria" w:hAnsi="Cambria" w:cs="Segoe UI"/>
          </w:rPr>
          <w:t>https://doi.org/10.1007/s10964-022-01645-x</w:t>
        </w:r>
      </w:hyperlink>
    </w:p>
    <w:p w14:paraId="6A20F959" w14:textId="77777777" w:rsidR="00D866B8" w:rsidRPr="00D866B8" w:rsidRDefault="00D866B8" w:rsidP="008F4023">
      <w:pPr>
        <w:pStyle w:val="paragraph"/>
        <w:spacing w:before="0" w:beforeAutospacing="0" w:after="80" w:afterAutospacing="0"/>
        <w:ind w:left="360" w:hanging="360"/>
        <w:textAlignment w:val="baseline"/>
        <w:rPr>
          <w:rFonts w:ascii="Cambria" w:hAnsi="Cambria" w:cs="Segoe UI"/>
          <w:lang w:val="es-ES"/>
        </w:rPr>
      </w:pPr>
      <w:r w:rsidRPr="00D866B8">
        <w:rPr>
          <w:rStyle w:val="normaltextrun"/>
          <w:rFonts w:ascii="Cambria" w:hAnsi="Cambria" w:cs="Segoe UI"/>
        </w:rPr>
        <w:t xml:space="preserve">Valenzuela, J. (2023) A Blueprint for Restorative Conversations. </w:t>
      </w:r>
      <w:proofErr w:type="spellStart"/>
      <w:r w:rsidRPr="00D866B8">
        <w:rPr>
          <w:rStyle w:val="normaltextrun"/>
          <w:rFonts w:ascii="Cambria" w:hAnsi="Cambria" w:cs="Segoe UI"/>
          <w:i/>
          <w:iCs/>
          <w:lang w:val="es-ES"/>
        </w:rPr>
        <w:t>Edutopia</w:t>
      </w:r>
      <w:proofErr w:type="spellEnd"/>
      <w:r w:rsidRPr="00D866B8">
        <w:rPr>
          <w:rStyle w:val="normaltextrun"/>
          <w:rFonts w:ascii="Cambria" w:hAnsi="Cambria" w:cs="Segoe UI"/>
          <w:lang w:val="es-ES"/>
        </w:rPr>
        <w:t xml:space="preserve">. </w:t>
      </w:r>
      <w:proofErr w:type="spellStart"/>
      <w:r w:rsidRPr="00D866B8">
        <w:rPr>
          <w:rStyle w:val="normaltextrun"/>
          <w:rFonts w:ascii="Cambria" w:hAnsi="Cambria" w:cs="Segoe UI"/>
          <w:lang w:val="es-ES"/>
        </w:rPr>
        <w:t>October</w:t>
      </w:r>
      <w:proofErr w:type="spellEnd"/>
      <w:r w:rsidRPr="00D866B8">
        <w:rPr>
          <w:rStyle w:val="normaltextrun"/>
          <w:rFonts w:ascii="Cambria" w:hAnsi="Cambria" w:cs="Segoe UI"/>
          <w:lang w:val="es-ES"/>
        </w:rPr>
        <w:t xml:space="preserve"> 5, 2023. </w:t>
      </w:r>
      <w:hyperlink r:id="rId44" w:tgtFrame="_blank" w:history="1">
        <w:r w:rsidRPr="00D866B8">
          <w:rPr>
            <w:rStyle w:val="normaltextrun"/>
            <w:rFonts w:ascii="Cambria" w:hAnsi="Cambria" w:cs="Segoe UI"/>
            <w:color w:val="0563C1"/>
            <w:u w:val="single"/>
            <w:lang w:val="es-ES"/>
          </w:rPr>
          <w:t>https://www.edutopia.org/article/using-restorative-conversations-mend-relationships-schools/</w:t>
        </w:r>
      </w:hyperlink>
      <w:r w:rsidRPr="00D866B8">
        <w:rPr>
          <w:rStyle w:val="eop"/>
          <w:rFonts w:ascii="Cambria" w:hAnsi="Cambria" w:cs="Segoe UI"/>
          <w:lang w:val="es-ES"/>
        </w:rPr>
        <w:t> </w:t>
      </w:r>
    </w:p>
    <w:p w14:paraId="768A8793" w14:textId="18847CF0" w:rsidR="003847BA" w:rsidRDefault="00FE4761" w:rsidP="008F4023">
      <w:pPr>
        <w:pStyle w:val="paragraph"/>
        <w:spacing w:before="0" w:beforeAutospacing="0" w:after="80" w:afterAutospacing="0"/>
        <w:ind w:left="360" w:hanging="360"/>
        <w:textAlignment w:val="baseline"/>
        <w:rPr>
          <w:rStyle w:val="normaltextrun"/>
          <w:rFonts w:ascii="Cambria" w:hAnsi="Cambria" w:cs="Segoe UI"/>
        </w:rPr>
      </w:pPr>
      <w:r>
        <w:rPr>
          <w:rStyle w:val="normaltextrun"/>
          <w:rFonts w:ascii="Cambria" w:hAnsi="Cambria" w:cs="Segoe UI"/>
        </w:rPr>
        <w:t>Walker, P. (20</w:t>
      </w:r>
      <w:r w:rsidR="007402DC">
        <w:rPr>
          <w:rStyle w:val="normaltextrun"/>
          <w:rFonts w:ascii="Cambria" w:hAnsi="Cambria" w:cs="Segoe UI"/>
        </w:rPr>
        <w:t xml:space="preserve">13). </w:t>
      </w:r>
      <w:r w:rsidR="009C1ACE">
        <w:rPr>
          <w:rStyle w:val="normaltextrun"/>
          <w:rFonts w:ascii="Cambria" w:hAnsi="Cambria" w:cs="Segoe UI"/>
          <w:i/>
          <w:iCs/>
        </w:rPr>
        <w:t xml:space="preserve">Complex PTSD: From surviving to thriving: A </w:t>
      </w:r>
      <w:r w:rsidR="001A044A">
        <w:rPr>
          <w:rStyle w:val="normaltextrun"/>
          <w:rFonts w:ascii="Cambria" w:hAnsi="Cambria" w:cs="Segoe UI"/>
          <w:i/>
          <w:iCs/>
        </w:rPr>
        <w:t>guide and map for recovering from childhood trauma</w:t>
      </w:r>
      <w:r w:rsidR="00670BBA">
        <w:rPr>
          <w:rStyle w:val="normaltextrun"/>
          <w:rFonts w:ascii="Cambria" w:hAnsi="Cambria" w:cs="Segoe UI"/>
          <w:i/>
          <w:iCs/>
        </w:rPr>
        <w:t xml:space="preserve">. </w:t>
      </w:r>
      <w:r w:rsidR="00670BBA">
        <w:rPr>
          <w:rStyle w:val="normaltextrun"/>
          <w:rFonts w:ascii="Cambria" w:hAnsi="Cambria" w:cs="Segoe UI"/>
        </w:rPr>
        <w:t>Lafayette, CA: Azure Coyote.</w:t>
      </w:r>
    </w:p>
    <w:p w14:paraId="0E0AB8A8" w14:textId="36520F77" w:rsidR="00D866B8" w:rsidRPr="00D866B8" w:rsidRDefault="00D866B8" w:rsidP="008F4023">
      <w:pPr>
        <w:pStyle w:val="paragraph"/>
        <w:spacing w:before="0" w:beforeAutospacing="0" w:after="80" w:afterAutospacing="0"/>
        <w:ind w:left="360" w:hanging="360"/>
        <w:textAlignment w:val="baseline"/>
        <w:rPr>
          <w:rFonts w:ascii="Cambria" w:hAnsi="Cambria" w:cs="Segoe UI"/>
        </w:rPr>
      </w:pPr>
      <w:r w:rsidRPr="00D866B8">
        <w:rPr>
          <w:rStyle w:val="normaltextrun"/>
          <w:rFonts w:ascii="Cambria" w:hAnsi="Cambria" w:cs="Segoe UI"/>
        </w:rPr>
        <w:t>Yale Poorvu Center for Teaching and Learning.</w:t>
      </w:r>
      <w:r w:rsidR="008C5C44">
        <w:rPr>
          <w:rStyle w:val="normaltextrun"/>
          <w:rFonts w:ascii="Cambria" w:hAnsi="Cambria" w:cs="Segoe UI"/>
        </w:rPr>
        <w:t xml:space="preserve"> (2017).</w:t>
      </w:r>
      <w:r w:rsidRPr="00D866B8">
        <w:rPr>
          <w:rStyle w:val="normaltextrun"/>
          <w:rFonts w:ascii="Cambria" w:hAnsi="Cambria" w:cs="Segoe UI"/>
        </w:rPr>
        <w:t xml:space="preserve"> </w:t>
      </w:r>
      <w:r w:rsidRPr="008D361A">
        <w:rPr>
          <w:rStyle w:val="normaltextrun"/>
          <w:rFonts w:ascii="Cambria" w:hAnsi="Cambria" w:cs="Segoe UI"/>
          <w:i/>
          <w:iCs/>
        </w:rPr>
        <w:t xml:space="preserve">Awareness of </w:t>
      </w:r>
      <w:r w:rsidR="008D361A" w:rsidRPr="008D361A">
        <w:rPr>
          <w:rStyle w:val="normaltextrun"/>
          <w:rFonts w:ascii="Cambria" w:hAnsi="Cambria" w:cs="Segoe UI"/>
          <w:i/>
          <w:iCs/>
        </w:rPr>
        <w:t>i</w:t>
      </w:r>
      <w:r w:rsidRPr="008D361A">
        <w:rPr>
          <w:rStyle w:val="normaltextrun"/>
          <w:rFonts w:ascii="Cambria" w:hAnsi="Cambria" w:cs="Segoe UI"/>
          <w:i/>
          <w:iCs/>
        </w:rPr>
        <w:t xml:space="preserve">mplicit </w:t>
      </w:r>
      <w:r w:rsidR="008D361A" w:rsidRPr="008D361A">
        <w:rPr>
          <w:rStyle w:val="normaltextrun"/>
          <w:rFonts w:ascii="Cambria" w:hAnsi="Cambria" w:cs="Segoe UI"/>
          <w:i/>
          <w:iCs/>
        </w:rPr>
        <w:t>b</w:t>
      </w:r>
      <w:r w:rsidRPr="008D361A">
        <w:rPr>
          <w:rStyle w:val="normaltextrun"/>
          <w:rFonts w:ascii="Cambria" w:hAnsi="Cambria" w:cs="Segoe UI"/>
          <w:i/>
          <w:iCs/>
        </w:rPr>
        <w:t xml:space="preserve">iases. </w:t>
      </w:r>
      <w:hyperlink r:id="rId45" w:tgtFrame="_blank" w:history="1">
        <w:r w:rsidRPr="00D866B8">
          <w:rPr>
            <w:rStyle w:val="normaltextrun"/>
            <w:rFonts w:ascii="Cambria" w:hAnsi="Cambria" w:cs="Segoe UI"/>
            <w:color w:val="0563C1"/>
            <w:u w:val="single"/>
          </w:rPr>
          <w:t>https://poorvucenter.yale.edu/ImplicitBiasAwareness</w:t>
        </w:r>
      </w:hyperlink>
      <w:r w:rsidRPr="00D866B8">
        <w:rPr>
          <w:rStyle w:val="eop"/>
          <w:rFonts w:ascii="Cambria" w:hAnsi="Cambria" w:cs="Segoe UI"/>
        </w:rPr>
        <w:t> </w:t>
      </w:r>
    </w:p>
    <w:p w14:paraId="611DCF45" w14:textId="7D61383B" w:rsidR="00F36112" w:rsidRPr="00F36112" w:rsidRDefault="00F36112" w:rsidP="002F1C77">
      <w:pPr>
        <w:pStyle w:val="BodyText"/>
        <w:spacing w:after="80"/>
        <w:rPr>
          <w:b/>
          <w:bCs/>
          <w:color w:val="66348C" w:themeColor="background2"/>
          <w:sz w:val="28"/>
          <w:szCs w:val="28"/>
        </w:rPr>
      </w:pPr>
      <w:r w:rsidRPr="00F36112">
        <w:rPr>
          <w:b/>
          <w:bCs/>
          <w:color w:val="66348C" w:themeColor="background2"/>
          <w:sz w:val="28"/>
          <w:szCs w:val="28"/>
        </w:rPr>
        <w:t> </w:t>
      </w:r>
    </w:p>
    <w:p w14:paraId="02680305" w14:textId="77777777" w:rsidR="007C08A2" w:rsidRDefault="007C08A2" w:rsidP="003329D3">
      <w:pPr>
        <w:pStyle w:val="BodyText"/>
        <w:rPr>
          <w:b/>
          <w:bCs/>
          <w:color w:val="66348C" w:themeColor="background2"/>
          <w:sz w:val="28"/>
          <w:szCs w:val="28"/>
        </w:rPr>
      </w:pPr>
    </w:p>
    <w:p w14:paraId="6E428C30" w14:textId="77777777" w:rsidR="007C08A2" w:rsidRPr="003329D3" w:rsidRDefault="007C08A2" w:rsidP="003329D3">
      <w:pPr>
        <w:pStyle w:val="BodyText"/>
        <w:rPr>
          <w:b/>
          <w:bCs/>
          <w:color w:val="66348C" w:themeColor="background2"/>
          <w:sz w:val="28"/>
          <w:szCs w:val="28"/>
        </w:rPr>
      </w:pPr>
    </w:p>
    <w:p w14:paraId="2706FF5B" w14:textId="77777777" w:rsidR="003329D3" w:rsidRDefault="003329D3" w:rsidP="008A7091">
      <w:pPr>
        <w:pStyle w:val="BodyText"/>
        <w:rPr>
          <w:b/>
          <w:bCs/>
          <w:color w:val="66348C" w:themeColor="background2"/>
          <w:sz w:val="28"/>
          <w:szCs w:val="28"/>
        </w:rPr>
      </w:pPr>
    </w:p>
    <w:p w14:paraId="4344B004" w14:textId="77777777" w:rsidR="008A7091" w:rsidRDefault="008A7091" w:rsidP="008A7091">
      <w:pPr>
        <w:pStyle w:val="paragraph"/>
        <w:spacing w:before="0" w:beforeAutospacing="0" w:after="0" w:afterAutospacing="0"/>
        <w:textAlignment w:val="baseline"/>
        <w:rPr>
          <w:rFonts w:ascii="Segoe UI" w:hAnsi="Segoe UI" w:cs="Segoe UI"/>
          <w:sz w:val="18"/>
          <w:szCs w:val="18"/>
        </w:rPr>
      </w:pPr>
    </w:p>
    <w:p w14:paraId="0B25A668" w14:textId="77777777" w:rsidR="008A7091" w:rsidRPr="009028B3" w:rsidRDefault="008A7091" w:rsidP="00F46828">
      <w:pPr>
        <w:pStyle w:val="BodyText"/>
        <w:rPr>
          <w:color w:val="66348C" w:themeColor="background2"/>
          <w:sz w:val="28"/>
          <w:szCs w:val="28"/>
        </w:rPr>
      </w:pPr>
    </w:p>
    <w:p w14:paraId="761B292E" w14:textId="5FBAA10B" w:rsidR="00CB53E0" w:rsidRDefault="00CB53E0" w:rsidP="00CB53E0">
      <w:pPr>
        <w:spacing w:after="0" w:line="240" w:lineRule="auto"/>
        <w:rPr>
          <w:rFonts w:ascii="Cambria" w:hAnsi="Cambria" w:cstheme="minorHAnsi"/>
          <w:sz w:val="24"/>
          <w:szCs w:val="24"/>
        </w:rPr>
      </w:pPr>
    </w:p>
    <w:p w14:paraId="43E8729E" w14:textId="7E228A8B" w:rsidR="00CB53E0" w:rsidRDefault="00CB53E0" w:rsidP="00CB53E0">
      <w:pPr>
        <w:spacing w:after="0" w:line="240" w:lineRule="auto"/>
        <w:rPr>
          <w:rFonts w:ascii="Cambria" w:hAnsi="Cambria" w:cstheme="minorHAnsi"/>
          <w:sz w:val="24"/>
          <w:szCs w:val="24"/>
        </w:rPr>
      </w:pPr>
    </w:p>
    <w:p w14:paraId="602D1607" w14:textId="4E2BBF25" w:rsidR="00CB53E0" w:rsidRDefault="00CB53E0" w:rsidP="00CB53E0">
      <w:pPr>
        <w:spacing w:after="0" w:line="240" w:lineRule="auto"/>
        <w:rPr>
          <w:rFonts w:ascii="Cambria" w:hAnsi="Cambria" w:cstheme="minorHAnsi"/>
          <w:sz w:val="24"/>
          <w:szCs w:val="24"/>
        </w:rPr>
      </w:pPr>
    </w:p>
    <w:p w14:paraId="37F89DDE" w14:textId="1558AC84" w:rsidR="00CB53E0" w:rsidRDefault="00CB53E0" w:rsidP="00CB53E0">
      <w:pPr>
        <w:spacing w:after="0" w:line="240" w:lineRule="auto"/>
        <w:rPr>
          <w:rFonts w:ascii="Cambria" w:hAnsi="Cambria" w:cstheme="minorHAnsi"/>
          <w:sz w:val="24"/>
          <w:szCs w:val="24"/>
        </w:rPr>
      </w:pPr>
    </w:p>
    <w:p w14:paraId="230F0A2A" w14:textId="77777777" w:rsidR="00B86DD0" w:rsidRDefault="00B86DD0"/>
    <w:p w14:paraId="5C894039" w14:textId="77777777" w:rsidR="00B86DD0" w:rsidRDefault="00B86DD0"/>
    <w:p w14:paraId="5C604DE8" w14:textId="77777777" w:rsidR="00B86DD0" w:rsidRDefault="00B86DD0"/>
    <w:p w14:paraId="2343EF89" w14:textId="77777777" w:rsidR="00B86DD0" w:rsidRDefault="00B86DD0"/>
    <w:p w14:paraId="1015BD25" w14:textId="77777777" w:rsidR="00B86DD0" w:rsidRDefault="00B86DD0"/>
    <w:p w14:paraId="57DB342F" w14:textId="5E0BF7F0" w:rsidR="00B86DD0" w:rsidRDefault="003132E7">
      <w:r>
        <w:rPr>
          <w:noProof/>
        </w:rPr>
        <mc:AlternateContent>
          <mc:Choice Requires="wps">
            <w:drawing>
              <wp:anchor distT="0" distB="0" distL="114300" distR="114300" simplePos="0" relativeHeight="251658242" behindDoc="0" locked="0" layoutInCell="1" allowOverlap="1" wp14:anchorId="07929051" wp14:editId="60E9124E">
                <wp:simplePos x="0" y="0"/>
                <wp:positionH relativeFrom="margin">
                  <wp:posOffset>98759</wp:posOffset>
                </wp:positionH>
                <wp:positionV relativeFrom="paragraph">
                  <wp:posOffset>177633</wp:posOffset>
                </wp:positionV>
                <wp:extent cx="63741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7.8pt;margin-top:14pt;width:501.9pt;height:108.3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" filled="f" stroked="f" strokeweight="1pt">
                <v:stroke joinstyle="miter"/>
                <v:textbox>
                  <w:txbxContent>
                    <w:p w14:paraId="660FF6F8" w14:textId="77777777" w:rsidR="00CB53E0" w:rsidRPr="00892F0E" w:rsidRDefault="00CB53E0" w:rsidP="00CB53E0">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4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Pr>
          <w:noProof/>
        </w:rPr>
        <w:drawing>
          <wp:anchor distT="0" distB="0" distL="114300" distR="114300" simplePos="0" relativeHeight="251658240" behindDoc="1" locked="0" layoutInCell="1" allowOverlap="1" wp14:anchorId="7B9DAB4A" wp14:editId="0369F662">
            <wp:simplePos x="0" y="0"/>
            <wp:positionH relativeFrom="margin">
              <wp:posOffset>-4077</wp:posOffset>
            </wp:positionH>
            <wp:positionV relativeFrom="paragraph">
              <wp:posOffset>170748</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48"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345A00" w14:textId="7D560F43" w:rsidR="00B86DD0" w:rsidRDefault="00B86DD0"/>
    <w:p w14:paraId="2216EBF6" w14:textId="16DAAC2D" w:rsidR="000A51B6" w:rsidRDefault="000A51B6"/>
    <w:sectPr w:rsidR="000A51B6">
      <w:headerReference w:type="default" r:id="rId49"/>
      <w:footerReference w:type="default" r:id="rId50"/>
      <w:headerReference w:type="first" r:id="rId51"/>
      <w:footerReference w:type="first" r:id="rId52"/>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F44AEA" w14:textId="77777777" w:rsidR="00D96DE3" w:rsidRDefault="00D96DE3" w:rsidP="00CB53E0">
      <w:pPr>
        <w:spacing w:after="0" w:line="240" w:lineRule="auto"/>
      </w:pPr>
      <w:r>
        <w:separator/>
      </w:r>
    </w:p>
  </w:endnote>
  <w:endnote w:type="continuationSeparator" w:id="0">
    <w:p w14:paraId="5A7EFE9B" w14:textId="77777777" w:rsidR="00D96DE3" w:rsidRDefault="00D96DE3" w:rsidP="00CB53E0">
      <w:pPr>
        <w:spacing w:after="0" w:line="240" w:lineRule="auto"/>
      </w:pPr>
      <w:r>
        <w:continuationSeparator/>
      </w:r>
    </w:p>
  </w:endnote>
  <w:endnote w:type="continuationNotice" w:id="1">
    <w:p w14:paraId="2769270D" w14:textId="77777777" w:rsidR="00D96DE3" w:rsidRDefault="00D96DE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Lucida Std">
    <w:altName w:val="Cambria"/>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5C0F0FC"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06A251" w14:textId="77777777" w:rsidR="00D96DE3" w:rsidRDefault="00D96DE3" w:rsidP="00CB53E0">
      <w:pPr>
        <w:spacing w:after="0" w:line="240" w:lineRule="auto"/>
      </w:pPr>
      <w:r>
        <w:separator/>
      </w:r>
    </w:p>
  </w:footnote>
  <w:footnote w:type="continuationSeparator" w:id="0">
    <w:p w14:paraId="53BDE171" w14:textId="77777777" w:rsidR="00D96DE3" w:rsidRDefault="00D96DE3" w:rsidP="00CB53E0">
      <w:pPr>
        <w:spacing w:after="0" w:line="240" w:lineRule="auto"/>
      </w:pPr>
      <w:r>
        <w:continuationSeparator/>
      </w:r>
    </w:p>
  </w:footnote>
  <w:footnote w:type="continuationNotice" w:id="1">
    <w:p w14:paraId="30C357E7" w14:textId="77777777" w:rsidR="00D96DE3" w:rsidRDefault="00D96DE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6DBD9879" w:rsidR="00B044FF" w:rsidRPr="00B86DD0" w:rsidRDefault="0082286B">
    <w:pPr>
      <w:pStyle w:val="Header"/>
      <w:spacing w:after="120" w:line="276" w:lineRule="auto"/>
      <w:rPr>
        <w:b/>
        <w:color w:val="5B5D5F"/>
      </w:rPr>
    </w:pPr>
    <w:r w:rsidRPr="00B86DD0">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519760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8A555C" w:rsidRPr="00B86DD0">
      <w:rPr>
        <w:color w:val="5B5D5F"/>
      </w:rPr>
      <w:t>Guiding Positive Student Behavior: Research and Practice Brief</w:t>
    </w:r>
    <w:r w:rsidR="00B044FF" w:rsidRPr="00B86DD0">
      <w:rPr>
        <w:b/>
        <w:color w:val="5B5D5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34554E"/>
    <w:multiLevelType w:val="multilevel"/>
    <w:tmpl w:val="CD085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B92EA6"/>
    <w:multiLevelType w:val="multilevel"/>
    <w:tmpl w:val="C85AB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AA4126"/>
    <w:multiLevelType w:val="multilevel"/>
    <w:tmpl w:val="2996D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DE51486"/>
    <w:multiLevelType w:val="multilevel"/>
    <w:tmpl w:val="0B8C5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04E12DD"/>
    <w:multiLevelType w:val="multilevel"/>
    <w:tmpl w:val="CDEEC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C8F20C0"/>
    <w:multiLevelType w:val="multilevel"/>
    <w:tmpl w:val="457ADB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3CD3987"/>
    <w:multiLevelType w:val="multilevel"/>
    <w:tmpl w:val="3DFE9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7946BDE"/>
    <w:multiLevelType w:val="multilevel"/>
    <w:tmpl w:val="F0EAD3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6A3D7DA7"/>
    <w:multiLevelType w:val="hybridMultilevel"/>
    <w:tmpl w:val="6A827FEE"/>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5" w15:restartNumberingAfterBreak="0">
    <w:nsid w:val="74763424"/>
    <w:multiLevelType w:val="multilevel"/>
    <w:tmpl w:val="01706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6"/>
  </w:num>
  <w:num w:numId="2" w16cid:durableId="1755203641">
    <w:abstractNumId w:val="2"/>
  </w:num>
  <w:num w:numId="3" w16cid:durableId="669869665">
    <w:abstractNumId w:val="9"/>
  </w:num>
  <w:num w:numId="4" w16cid:durableId="614362745">
    <w:abstractNumId w:val="13"/>
  </w:num>
  <w:num w:numId="5" w16cid:durableId="1187712736">
    <w:abstractNumId w:val="11"/>
  </w:num>
  <w:num w:numId="6" w16cid:durableId="341468806">
    <w:abstractNumId w:val="10"/>
  </w:num>
  <w:num w:numId="7" w16cid:durableId="1884511872">
    <w:abstractNumId w:val="6"/>
  </w:num>
  <w:num w:numId="8" w16cid:durableId="1965958398">
    <w:abstractNumId w:val="14"/>
  </w:num>
  <w:num w:numId="9" w16cid:durableId="1380939741">
    <w:abstractNumId w:val="15"/>
  </w:num>
  <w:num w:numId="10" w16cid:durableId="1412581782">
    <w:abstractNumId w:val="8"/>
  </w:num>
  <w:num w:numId="11" w16cid:durableId="778960953">
    <w:abstractNumId w:val="12"/>
  </w:num>
  <w:num w:numId="12" w16cid:durableId="1721779481">
    <w:abstractNumId w:val="0"/>
  </w:num>
  <w:num w:numId="13" w16cid:durableId="1697542167">
    <w:abstractNumId w:val="4"/>
  </w:num>
  <w:num w:numId="14" w16cid:durableId="2014019336">
    <w:abstractNumId w:val="3"/>
  </w:num>
  <w:num w:numId="15" w16cid:durableId="1765806278">
    <w:abstractNumId w:val="5"/>
  </w:num>
  <w:num w:numId="16" w16cid:durableId="1101217750">
    <w:abstractNumId w:val="1"/>
  </w:num>
  <w:num w:numId="17" w16cid:durableId="159462854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78"/>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15DA"/>
    <w:rsid w:val="0005110E"/>
    <w:rsid w:val="0006322B"/>
    <w:rsid w:val="00070D89"/>
    <w:rsid w:val="000868CA"/>
    <w:rsid w:val="000A51B6"/>
    <w:rsid w:val="000C2542"/>
    <w:rsid w:val="000D69A2"/>
    <w:rsid w:val="000E544D"/>
    <w:rsid w:val="000F7575"/>
    <w:rsid w:val="00105E8E"/>
    <w:rsid w:val="001306D4"/>
    <w:rsid w:val="0014198B"/>
    <w:rsid w:val="001479F7"/>
    <w:rsid w:val="00154011"/>
    <w:rsid w:val="00155AB3"/>
    <w:rsid w:val="00156274"/>
    <w:rsid w:val="0016096F"/>
    <w:rsid w:val="00175BDE"/>
    <w:rsid w:val="00186291"/>
    <w:rsid w:val="00186838"/>
    <w:rsid w:val="00187705"/>
    <w:rsid w:val="00195BCE"/>
    <w:rsid w:val="0019603C"/>
    <w:rsid w:val="00197BD2"/>
    <w:rsid w:val="001A044A"/>
    <w:rsid w:val="001B3FA2"/>
    <w:rsid w:val="001B77A6"/>
    <w:rsid w:val="001C0A61"/>
    <w:rsid w:val="001C6695"/>
    <w:rsid w:val="001D0EE2"/>
    <w:rsid w:val="001E0DFB"/>
    <w:rsid w:val="001E4E23"/>
    <w:rsid w:val="001F5716"/>
    <w:rsid w:val="00201FF2"/>
    <w:rsid w:val="002036B0"/>
    <w:rsid w:val="00224376"/>
    <w:rsid w:val="00225F63"/>
    <w:rsid w:val="002277E3"/>
    <w:rsid w:val="002314EF"/>
    <w:rsid w:val="0023665B"/>
    <w:rsid w:val="00253DDE"/>
    <w:rsid w:val="0025617C"/>
    <w:rsid w:val="00262166"/>
    <w:rsid w:val="002A5FFB"/>
    <w:rsid w:val="002B39FE"/>
    <w:rsid w:val="002B596D"/>
    <w:rsid w:val="002C18A4"/>
    <w:rsid w:val="002D6AAC"/>
    <w:rsid w:val="002E1F18"/>
    <w:rsid w:val="002E6852"/>
    <w:rsid w:val="002F1C77"/>
    <w:rsid w:val="002F27CC"/>
    <w:rsid w:val="002F5E94"/>
    <w:rsid w:val="00302991"/>
    <w:rsid w:val="00306F07"/>
    <w:rsid w:val="00307D83"/>
    <w:rsid w:val="0031088E"/>
    <w:rsid w:val="00310C65"/>
    <w:rsid w:val="003132E7"/>
    <w:rsid w:val="00326984"/>
    <w:rsid w:val="003329D3"/>
    <w:rsid w:val="00332A6F"/>
    <w:rsid w:val="003512BA"/>
    <w:rsid w:val="0035215A"/>
    <w:rsid w:val="00355585"/>
    <w:rsid w:val="00373237"/>
    <w:rsid w:val="00376932"/>
    <w:rsid w:val="0037776D"/>
    <w:rsid w:val="00381083"/>
    <w:rsid w:val="003847BA"/>
    <w:rsid w:val="003915D6"/>
    <w:rsid w:val="00396C66"/>
    <w:rsid w:val="0039735F"/>
    <w:rsid w:val="003A13D3"/>
    <w:rsid w:val="003A7789"/>
    <w:rsid w:val="003B3815"/>
    <w:rsid w:val="003C7C17"/>
    <w:rsid w:val="003D3501"/>
    <w:rsid w:val="003E1154"/>
    <w:rsid w:val="003E6C98"/>
    <w:rsid w:val="003F12B8"/>
    <w:rsid w:val="003F3180"/>
    <w:rsid w:val="003F402C"/>
    <w:rsid w:val="003F7C8E"/>
    <w:rsid w:val="003F7F00"/>
    <w:rsid w:val="0043065B"/>
    <w:rsid w:val="0043171E"/>
    <w:rsid w:val="0043424D"/>
    <w:rsid w:val="00435F68"/>
    <w:rsid w:val="00445891"/>
    <w:rsid w:val="004530BD"/>
    <w:rsid w:val="004539C5"/>
    <w:rsid w:val="004612FE"/>
    <w:rsid w:val="004627E2"/>
    <w:rsid w:val="00465F83"/>
    <w:rsid w:val="00467660"/>
    <w:rsid w:val="004731F8"/>
    <w:rsid w:val="00475FC6"/>
    <w:rsid w:val="00480A5D"/>
    <w:rsid w:val="00485D0F"/>
    <w:rsid w:val="00487F96"/>
    <w:rsid w:val="00492D3E"/>
    <w:rsid w:val="0049757C"/>
    <w:rsid w:val="004A4607"/>
    <w:rsid w:val="004A70B1"/>
    <w:rsid w:val="004C3CFA"/>
    <w:rsid w:val="004D2D58"/>
    <w:rsid w:val="004E6B10"/>
    <w:rsid w:val="005040DD"/>
    <w:rsid w:val="00533260"/>
    <w:rsid w:val="0054203F"/>
    <w:rsid w:val="00543099"/>
    <w:rsid w:val="00543C50"/>
    <w:rsid w:val="005557F0"/>
    <w:rsid w:val="0056132E"/>
    <w:rsid w:val="005645FB"/>
    <w:rsid w:val="00576B31"/>
    <w:rsid w:val="0059587D"/>
    <w:rsid w:val="005B6FA9"/>
    <w:rsid w:val="005C290C"/>
    <w:rsid w:val="005C41BB"/>
    <w:rsid w:val="005C535F"/>
    <w:rsid w:val="005F10E2"/>
    <w:rsid w:val="00617926"/>
    <w:rsid w:val="00625431"/>
    <w:rsid w:val="006443ED"/>
    <w:rsid w:val="00647864"/>
    <w:rsid w:val="00652FD6"/>
    <w:rsid w:val="00653F0E"/>
    <w:rsid w:val="00656219"/>
    <w:rsid w:val="00656D67"/>
    <w:rsid w:val="0065754F"/>
    <w:rsid w:val="00662F77"/>
    <w:rsid w:val="006662BB"/>
    <w:rsid w:val="00670BBA"/>
    <w:rsid w:val="00694B6F"/>
    <w:rsid w:val="0069507A"/>
    <w:rsid w:val="006B087F"/>
    <w:rsid w:val="006C0CEF"/>
    <w:rsid w:val="006C13C4"/>
    <w:rsid w:val="006C1AF7"/>
    <w:rsid w:val="006D029E"/>
    <w:rsid w:val="006E0973"/>
    <w:rsid w:val="006E46A5"/>
    <w:rsid w:val="006E5475"/>
    <w:rsid w:val="006F7C63"/>
    <w:rsid w:val="0071348A"/>
    <w:rsid w:val="007402DC"/>
    <w:rsid w:val="00741DBC"/>
    <w:rsid w:val="00753BFE"/>
    <w:rsid w:val="007648A4"/>
    <w:rsid w:val="007665B0"/>
    <w:rsid w:val="00774ACE"/>
    <w:rsid w:val="007843C4"/>
    <w:rsid w:val="00784579"/>
    <w:rsid w:val="007B28C4"/>
    <w:rsid w:val="007C08A2"/>
    <w:rsid w:val="007D6C35"/>
    <w:rsid w:val="007E02EE"/>
    <w:rsid w:val="008012A1"/>
    <w:rsid w:val="0081044A"/>
    <w:rsid w:val="00821B07"/>
    <w:rsid w:val="0082286B"/>
    <w:rsid w:val="00827792"/>
    <w:rsid w:val="00837370"/>
    <w:rsid w:val="008412B8"/>
    <w:rsid w:val="0084340E"/>
    <w:rsid w:val="0084390D"/>
    <w:rsid w:val="00846B65"/>
    <w:rsid w:val="0084768A"/>
    <w:rsid w:val="0085463C"/>
    <w:rsid w:val="008547B6"/>
    <w:rsid w:val="00855321"/>
    <w:rsid w:val="0087253B"/>
    <w:rsid w:val="00873541"/>
    <w:rsid w:val="0088471D"/>
    <w:rsid w:val="008A555C"/>
    <w:rsid w:val="008A5FEA"/>
    <w:rsid w:val="008A7091"/>
    <w:rsid w:val="008B3932"/>
    <w:rsid w:val="008C2C01"/>
    <w:rsid w:val="008C5C44"/>
    <w:rsid w:val="008D361A"/>
    <w:rsid w:val="008D59A3"/>
    <w:rsid w:val="008F2599"/>
    <w:rsid w:val="008F4023"/>
    <w:rsid w:val="009028B3"/>
    <w:rsid w:val="00906287"/>
    <w:rsid w:val="009121D7"/>
    <w:rsid w:val="00921065"/>
    <w:rsid w:val="00951212"/>
    <w:rsid w:val="009609FB"/>
    <w:rsid w:val="0096632C"/>
    <w:rsid w:val="009673B1"/>
    <w:rsid w:val="00984E90"/>
    <w:rsid w:val="00991D8B"/>
    <w:rsid w:val="0099766F"/>
    <w:rsid w:val="009A1A66"/>
    <w:rsid w:val="009C1ACE"/>
    <w:rsid w:val="009C4641"/>
    <w:rsid w:val="009D308A"/>
    <w:rsid w:val="009E12F0"/>
    <w:rsid w:val="009E7FD0"/>
    <w:rsid w:val="009F3EC7"/>
    <w:rsid w:val="00A0072A"/>
    <w:rsid w:val="00A22865"/>
    <w:rsid w:val="00A25636"/>
    <w:rsid w:val="00A27AD2"/>
    <w:rsid w:val="00A34913"/>
    <w:rsid w:val="00A4527A"/>
    <w:rsid w:val="00A55278"/>
    <w:rsid w:val="00A6209C"/>
    <w:rsid w:val="00A84AAD"/>
    <w:rsid w:val="00A9001C"/>
    <w:rsid w:val="00A91C0B"/>
    <w:rsid w:val="00A92C5B"/>
    <w:rsid w:val="00A95313"/>
    <w:rsid w:val="00AB7FC5"/>
    <w:rsid w:val="00AC67D2"/>
    <w:rsid w:val="00AD3C83"/>
    <w:rsid w:val="00AE0CB9"/>
    <w:rsid w:val="00AE304A"/>
    <w:rsid w:val="00AE4313"/>
    <w:rsid w:val="00AF2B3A"/>
    <w:rsid w:val="00AF3A23"/>
    <w:rsid w:val="00B034DE"/>
    <w:rsid w:val="00B0411B"/>
    <w:rsid w:val="00B044FF"/>
    <w:rsid w:val="00B10919"/>
    <w:rsid w:val="00B11CD7"/>
    <w:rsid w:val="00B15FC1"/>
    <w:rsid w:val="00B218CD"/>
    <w:rsid w:val="00B250B9"/>
    <w:rsid w:val="00B44250"/>
    <w:rsid w:val="00B470D8"/>
    <w:rsid w:val="00B533A2"/>
    <w:rsid w:val="00B5768C"/>
    <w:rsid w:val="00B62DF9"/>
    <w:rsid w:val="00B86DD0"/>
    <w:rsid w:val="00BA024A"/>
    <w:rsid w:val="00BA2898"/>
    <w:rsid w:val="00BA38C2"/>
    <w:rsid w:val="00BA3B2D"/>
    <w:rsid w:val="00BA5C1B"/>
    <w:rsid w:val="00BA6CE3"/>
    <w:rsid w:val="00BB0FF2"/>
    <w:rsid w:val="00BB5906"/>
    <w:rsid w:val="00BC116A"/>
    <w:rsid w:val="00BC3E4B"/>
    <w:rsid w:val="00BD6C9E"/>
    <w:rsid w:val="00BD6E2B"/>
    <w:rsid w:val="00C003B4"/>
    <w:rsid w:val="00C00931"/>
    <w:rsid w:val="00C00E33"/>
    <w:rsid w:val="00C21AF4"/>
    <w:rsid w:val="00C21C22"/>
    <w:rsid w:val="00C24EEE"/>
    <w:rsid w:val="00C440D1"/>
    <w:rsid w:val="00C46C9D"/>
    <w:rsid w:val="00C53B23"/>
    <w:rsid w:val="00C56044"/>
    <w:rsid w:val="00C63C84"/>
    <w:rsid w:val="00C6510B"/>
    <w:rsid w:val="00C72014"/>
    <w:rsid w:val="00C73563"/>
    <w:rsid w:val="00C7369F"/>
    <w:rsid w:val="00CB53E0"/>
    <w:rsid w:val="00CB5D5D"/>
    <w:rsid w:val="00CC63A1"/>
    <w:rsid w:val="00CD3CAD"/>
    <w:rsid w:val="00CE1051"/>
    <w:rsid w:val="00CE2976"/>
    <w:rsid w:val="00CE3B0D"/>
    <w:rsid w:val="00CF3BE7"/>
    <w:rsid w:val="00CF523E"/>
    <w:rsid w:val="00D123D2"/>
    <w:rsid w:val="00D12CBF"/>
    <w:rsid w:val="00D23DC2"/>
    <w:rsid w:val="00D26721"/>
    <w:rsid w:val="00D354FB"/>
    <w:rsid w:val="00D5104F"/>
    <w:rsid w:val="00D56E20"/>
    <w:rsid w:val="00D608CE"/>
    <w:rsid w:val="00D61E74"/>
    <w:rsid w:val="00D65182"/>
    <w:rsid w:val="00D74E9D"/>
    <w:rsid w:val="00D7523D"/>
    <w:rsid w:val="00D866B8"/>
    <w:rsid w:val="00D9203C"/>
    <w:rsid w:val="00D921FC"/>
    <w:rsid w:val="00D94CA3"/>
    <w:rsid w:val="00D96DE3"/>
    <w:rsid w:val="00DA35C2"/>
    <w:rsid w:val="00DC1579"/>
    <w:rsid w:val="00DC4F61"/>
    <w:rsid w:val="00DD7FBD"/>
    <w:rsid w:val="00DE159A"/>
    <w:rsid w:val="00DE1F9D"/>
    <w:rsid w:val="00DE5A82"/>
    <w:rsid w:val="00DF7D19"/>
    <w:rsid w:val="00E003F9"/>
    <w:rsid w:val="00E14C03"/>
    <w:rsid w:val="00E21DFA"/>
    <w:rsid w:val="00E27CC2"/>
    <w:rsid w:val="00E32244"/>
    <w:rsid w:val="00E34E8A"/>
    <w:rsid w:val="00E42251"/>
    <w:rsid w:val="00E616AF"/>
    <w:rsid w:val="00E7707A"/>
    <w:rsid w:val="00E82CBE"/>
    <w:rsid w:val="00E8597A"/>
    <w:rsid w:val="00E87CE4"/>
    <w:rsid w:val="00E944B5"/>
    <w:rsid w:val="00EA60CF"/>
    <w:rsid w:val="00EB72EE"/>
    <w:rsid w:val="00EC68EC"/>
    <w:rsid w:val="00ED0DD4"/>
    <w:rsid w:val="00ED25BC"/>
    <w:rsid w:val="00ED7FB3"/>
    <w:rsid w:val="00EE1DEF"/>
    <w:rsid w:val="00EE68A5"/>
    <w:rsid w:val="00F06D49"/>
    <w:rsid w:val="00F15653"/>
    <w:rsid w:val="00F16A9A"/>
    <w:rsid w:val="00F257FA"/>
    <w:rsid w:val="00F36112"/>
    <w:rsid w:val="00F4097B"/>
    <w:rsid w:val="00F43ED7"/>
    <w:rsid w:val="00F46828"/>
    <w:rsid w:val="00F613F7"/>
    <w:rsid w:val="00F6410E"/>
    <w:rsid w:val="00F66B16"/>
    <w:rsid w:val="00F7000E"/>
    <w:rsid w:val="00F92F31"/>
    <w:rsid w:val="00F94167"/>
    <w:rsid w:val="00F95F6F"/>
    <w:rsid w:val="00FA5BB0"/>
    <w:rsid w:val="00FA5C4F"/>
    <w:rsid w:val="00FB3FAB"/>
    <w:rsid w:val="00FC2EFC"/>
    <w:rsid w:val="00FC6CDE"/>
    <w:rsid w:val="00FE15B6"/>
    <w:rsid w:val="00FE38D6"/>
    <w:rsid w:val="00FE4761"/>
    <w:rsid w:val="00FE6452"/>
    <w:rsid w:val="00FF27A3"/>
    <w:rsid w:val="00FF49F3"/>
    <w:rsid w:val="00FF71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85463C"/>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85463C"/>
  </w:style>
  <w:style w:type="character" w:customStyle="1" w:styleId="eop">
    <w:name w:val="eop"/>
    <w:basedOn w:val="DefaultParagraphFont"/>
    <w:rsid w:val="0085463C"/>
  </w:style>
  <w:style w:type="character" w:styleId="UnresolvedMention">
    <w:name w:val="Unresolved Mention"/>
    <w:basedOn w:val="DefaultParagraphFont"/>
    <w:uiPriority w:val="99"/>
    <w:semiHidden/>
    <w:unhideWhenUsed/>
    <w:rsid w:val="00A6209C"/>
    <w:rPr>
      <w:color w:val="605E5C"/>
      <w:shd w:val="clear" w:color="auto" w:fill="E1DFDD"/>
    </w:rPr>
  </w:style>
  <w:style w:type="character" w:styleId="FollowedHyperlink">
    <w:name w:val="FollowedHyperlink"/>
    <w:basedOn w:val="DefaultParagraphFont"/>
    <w:uiPriority w:val="99"/>
    <w:semiHidden/>
    <w:unhideWhenUsed/>
    <w:rsid w:val="00A6209C"/>
    <w:rPr>
      <w:color w:val="66348C" w:themeColor="followedHyperlink"/>
      <w:u w:val="single"/>
    </w:rPr>
  </w:style>
  <w:style w:type="character" w:customStyle="1" w:styleId="field-content">
    <w:name w:val="field-content"/>
    <w:basedOn w:val="DefaultParagraphFont"/>
    <w:rsid w:val="00A34913"/>
  </w:style>
  <w:style w:type="character" w:styleId="Emphasis">
    <w:name w:val="Emphasis"/>
    <w:basedOn w:val="DefaultParagraphFont"/>
    <w:uiPriority w:val="20"/>
    <w:qFormat/>
    <w:rsid w:val="00A34913"/>
    <w:rPr>
      <w:i/>
      <w:iCs/>
    </w:rPr>
  </w:style>
  <w:style w:type="character" w:customStyle="1" w:styleId="A1">
    <w:name w:val="A1"/>
    <w:uiPriority w:val="99"/>
    <w:rsid w:val="00B470D8"/>
    <w:rPr>
      <w:rFonts w:cs="Lucida Std"/>
      <w:color w:val="221E1F"/>
      <w:sz w:val="22"/>
      <w:szCs w:val="22"/>
    </w:rPr>
  </w:style>
  <w:style w:type="paragraph" w:customStyle="1" w:styleId="c-article-author-listitem">
    <w:name w:val="c-article-author-list__item"/>
    <w:basedOn w:val="Normal"/>
    <w:rsid w:val="00105E8E"/>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c-article-identifiersitem">
    <w:name w:val="c-article-identifiers__item"/>
    <w:basedOn w:val="Normal"/>
    <w:rsid w:val="00105E8E"/>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author">
    <w:name w:val="author"/>
    <w:basedOn w:val="DefaultParagraphFont"/>
    <w:rsid w:val="00C21AF4"/>
  </w:style>
  <w:style w:type="character" w:customStyle="1" w:styleId="a-color-secondary">
    <w:name w:val="a-color-secondary"/>
    <w:basedOn w:val="DefaultParagraphFont"/>
    <w:rsid w:val="00C21A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993096">
      <w:bodyDiv w:val="1"/>
      <w:marLeft w:val="0"/>
      <w:marRight w:val="0"/>
      <w:marTop w:val="0"/>
      <w:marBottom w:val="0"/>
      <w:divBdr>
        <w:top w:val="none" w:sz="0" w:space="0" w:color="auto"/>
        <w:left w:val="none" w:sz="0" w:space="0" w:color="auto"/>
        <w:bottom w:val="none" w:sz="0" w:space="0" w:color="auto"/>
        <w:right w:val="none" w:sz="0" w:space="0" w:color="auto"/>
      </w:divBdr>
      <w:divsChild>
        <w:div w:id="1282299226">
          <w:marLeft w:val="0"/>
          <w:marRight w:val="0"/>
          <w:marTop w:val="0"/>
          <w:marBottom w:val="0"/>
          <w:divBdr>
            <w:top w:val="none" w:sz="0" w:space="0" w:color="auto"/>
            <w:left w:val="none" w:sz="0" w:space="0" w:color="auto"/>
            <w:bottom w:val="none" w:sz="0" w:space="0" w:color="auto"/>
            <w:right w:val="none" w:sz="0" w:space="0" w:color="auto"/>
          </w:divBdr>
        </w:div>
        <w:div w:id="890574489">
          <w:marLeft w:val="0"/>
          <w:marRight w:val="0"/>
          <w:marTop w:val="0"/>
          <w:marBottom w:val="0"/>
          <w:divBdr>
            <w:top w:val="none" w:sz="0" w:space="0" w:color="auto"/>
            <w:left w:val="none" w:sz="0" w:space="0" w:color="auto"/>
            <w:bottom w:val="none" w:sz="0" w:space="0" w:color="auto"/>
            <w:right w:val="none" w:sz="0" w:space="0" w:color="auto"/>
          </w:divBdr>
        </w:div>
      </w:divsChild>
    </w:div>
    <w:div w:id="127404272">
      <w:bodyDiv w:val="1"/>
      <w:marLeft w:val="0"/>
      <w:marRight w:val="0"/>
      <w:marTop w:val="0"/>
      <w:marBottom w:val="0"/>
      <w:divBdr>
        <w:top w:val="none" w:sz="0" w:space="0" w:color="auto"/>
        <w:left w:val="none" w:sz="0" w:space="0" w:color="auto"/>
        <w:bottom w:val="none" w:sz="0" w:space="0" w:color="auto"/>
        <w:right w:val="none" w:sz="0" w:space="0" w:color="auto"/>
      </w:divBdr>
    </w:div>
    <w:div w:id="264315183">
      <w:bodyDiv w:val="1"/>
      <w:marLeft w:val="0"/>
      <w:marRight w:val="0"/>
      <w:marTop w:val="0"/>
      <w:marBottom w:val="0"/>
      <w:divBdr>
        <w:top w:val="none" w:sz="0" w:space="0" w:color="auto"/>
        <w:left w:val="none" w:sz="0" w:space="0" w:color="auto"/>
        <w:bottom w:val="none" w:sz="0" w:space="0" w:color="auto"/>
        <w:right w:val="none" w:sz="0" w:space="0" w:color="auto"/>
      </w:divBdr>
      <w:divsChild>
        <w:div w:id="102578053">
          <w:marLeft w:val="0"/>
          <w:marRight w:val="0"/>
          <w:marTop w:val="0"/>
          <w:marBottom w:val="0"/>
          <w:divBdr>
            <w:top w:val="none" w:sz="0" w:space="0" w:color="auto"/>
            <w:left w:val="none" w:sz="0" w:space="0" w:color="auto"/>
            <w:bottom w:val="none" w:sz="0" w:space="0" w:color="auto"/>
            <w:right w:val="none" w:sz="0" w:space="0" w:color="auto"/>
          </w:divBdr>
        </w:div>
        <w:div w:id="1970931741">
          <w:marLeft w:val="0"/>
          <w:marRight w:val="0"/>
          <w:marTop w:val="0"/>
          <w:marBottom w:val="0"/>
          <w:divBdr>
            <w:top w:val="none" w:sz="0" w:space="0" w:color="auto"/>
            <w:left w:val="none" w:sz="0" w:space="0" w:color="auto"/>
            <w:bottom w:val="none" w:sz="0" w:space="0" w:color="auto"/>
            <w:right w:val="none" w:sz="0" w:space="0" w:color="auto"/>
          </w:divBdr>
        </w:div>
        <w:div w:id="1183394762">
          <w:marLeft w:val="0"/>
          <w:marRight w:val="0"/>
          <w:marTop w:val="0"/>
          <w:marBottom w:val="0"/>
          <w:divBdr>
            <w:top w:val="none" w:sz="0" w:space="0" w:color="auto"/>
            <w:left w:val="none" w:sz="0" w:space="0" w:color="auto"/>
            <w:bottom w:val="none" w:sz="0" w:space="0" w:color="auto"/>
            <w:right w:val="none" w:sz="0" w:space="0" w:color="auto"/>
          </w:divBdr>
        </w:div>
        <w:div w:id="175971744">
          <w:marLeft w:val="0"/>
          <w:marRight w:val="0"/>
          <w:marTop w:val="0"/>
          <w:marBottom w:val="0"/>
          <w:divBdr>
            <w:top w:val="none" w:sz="0" w:space="0" w:color="auto"/>
            <w:left w:val="none" w:sz="0" w:space="0" w:color="auto"/>
            <w:bottom w:val="none" w:sz="0" w:space="0" w:color="auto"/>
            <w:right w:val="none" w:sz="0" w:space="0" w:color="auto"/>
          </w:divBdr>
        </w:div>
      </w:divsChild>
    </w:div>
    <w:div w:id="358118203">
      <w:bodyDiv w:val="1"/>
      <w:marLeft w:val="0"/>
      <w:marRight w:val="0"/>
      <w:marTop w:val="0"/>
      <w:marBottom w:val="0"/>
      <w:divBdr>
        <w:top w:val="none" w:sz="0" w:space="0" w:color="auto"/>
        <w:left w:val="none" w:sz="0" w:space="0" w:color="auto"/>
        <w:bottom w:val="none" w:sz="0" w:space="0" w:color="auto"/>
        <w:right w:val="none" w:sz="0" w:space="0" w:color="auto"/>
      </w:divBdr>
      <w:divsChild>
        <w:div w:id="1077169126">
          <w:marLeft w:val="0"/>
          <w:marRight w:val="0"/>
          <w:marTop w:val="0"/>
          <w:marBottom w:val="0"/>
          <w:divBdr>
            <w:top w:val="none" w:sz="0" w:space="0" w:color="auto"/>
            <w:left w:val="none" w:sz="0" w:space="0" w:color="auto"/>
            <w:bottom w:val="none" w:sz="0" w:space="0" w:color="auto"/>
            <w:right w:val="none" w:sz="0" w:space="0" w:color="auto"/>
          </w:divBdr>
        </w:div>
        <w:div w:id="1271233068">
          <w:marLeft w:val="0"/>
          <w:marRight w:val="0"/>
          <w:marTop w:val="0"/>
          <w:marBottom w:val="0"/>
          <w:divBdr>
            <w:top w:val="none" w:sz="0" w:space="0" w:color="auto"/>
            <w:left w:val="none" w:sz="0" w:space="0" w:color="auto"/>
            <w:bottom w:val="none" w:sz="0" w:space="0" w:color="auto"/>
            <w:right w:val="none" w:sz="0" w:space="0" w:color="auto"/>
          </w:divBdr>
        </w:div>
      </w:divsChild>
    </w:div>
    <w:div w:id="359400535">
      <w:bodyDiv w:val="1"/>
      <w:marLeft w:val="0"/>
      <w:marRight w:val="0"/>
      <w:marTop w:val="0"/>
      <w:marBottom w:val="0"/>
      <w:divBdr>
        <w:top w:val="none" w:sz="0" w:space="0" w:color="auto"/>
        <w:left w:val="none" w:sz="0" w:space="0" w:color="auto"/>
        <w:bottom w:val="none" w:sz="0" w:space="0" w:color="auto"/>
        <w:right w:val="none" w:sz="0" w:space="0" w:color="auto"/>
      </w:divBdr>
      <w:divsChild>
        <w:div w:id="1689914254">
          <w:marLeft w:val="0"/>
          <w:marRight w:val="0"/>
          <w:marTop w:val="0"/>
          <w:marBottom w:val="0"/>
          <w:divBdr>
            <w:top w:val="none" w:sz="0" w:space="0" w:color="auto"/>
            <w:left w:val="none" w:sz="0" w:space="0" w:color="auto"/>
            <w:bottom w:val="none" w:sz="0" w:space="0" w:color="auto"/>
            <w:right w:val="none" w:sz="0" w:space="0" w:color="auto"/>
          </w:divBdr>
        </w:div>
        <w:div w:id="1298336919">
          <w:marLeft w:val="0"/>
          <w:marRight w:val="0"/>
          <w:marTop w:val="0"/>
          <w:marBottom w:val="0"/>
          <w:divBdr>
            <w:top w:val="none" w:sz="0" w:space="0" w:color="auto"/>
            <w:left w:val="none" w:sz="0" w:space="0" w:color="auto"/>
            <w:bottom w:val="none" w:sz="0" w:space="0" w:color="auto"/>
            <w:right w:val="none" w:sz="0" w:space="0" w:color="auto"/>
          </w:divBdr>
        </w:div>
        <w:div w:id="1980304124">
          <w:marLeft w:val="0"/>
          <w:marRight w:val="0"/>
          <w:marTop w:val="0"/>
          <w:marBottom w:val="0"/>
          <w:divBdr>
            <w:top w:val="none" w:sz="0" w:space="0" w:color="auto"/>
            <w:left w:val="none" w:sz="0" w:space="0" w:color="auto"/>
            <w:bottom w:val="none" w:sz="0" w:space="0" w:color="auto"/>
            <w:right w:val="none" w:sz="0" w:space="0" w:color="auto"/>
          </w:divBdr>
        </w:div>
        <w:div w:id="1783528325">
          <w:marLeft w:val="0"/>
          <w:marRight w:val="0"/>
          <w:marTop w:val="0"/>
          <w:marBottom w:val="0"/>
          <w:divBdr>
            <w:top w:val="none" w:sz="0" w:space="0" w:color="auto"/>
            <w:left w:val="none" w:sz="0" w:space="0" w:color="auto"/>
            <w:bottom w:val="none" w:sz="0" w:space="0" w:color="auto"/>
            <w:right w:val="none" w:sz="0" w:space="0" w:color="auto"/>
          </w:divBdr>
        </w:div>
        <w:div w:id="1455708532">
          <w:marLeft w:val="0"/>
          <w:marRight w:val="0"/>
          <w:marTop w:val="0"/>
          <w:marBottom w:val="0"/>
          <w:divBdr>
            <w:top w:val="none" w:sz="0" w:space="0" w:color="auto"/>
            <w:left w:val="none" w:sz="0" w:space="0" w:color="auto"/>
            <w:bottom w:val="none" w:sz="0" w:space="0" w:color="auto"/>
            <w:right w:val="none" w:sz="0" w:space="0" w:color="auto"/>
          </w:divBdr>
        </w:div>
        <w:div w:id="1490828784">
          <w:marLeft w:val="0"/>
          <w:marRight w:val="0"/>
          <w:marTop w:val="0"/>
          <w:marBottom w:val="0"/>
          <w:divBdr>
            <w:top w:val="none" w:sz="0" w:space="0" w:color="auto"/>
            <w:left w:val="none" w:sz="0" w:space="0" w:color="auto"/>
            <w:bottom w:val="none" w:sz="0" w:space="0" w:color="auto"/>
            <w:right w:val="none" w:sz="0" w:space="0" w:color="auto"/>
          </w:divBdr>
        </w:div>
        <w:div w:id="942954586">
          <w:marLeft w:val="0"/>
          <w:marRight w:val="0"/>
          <w:marTop w:val="0"/>
          <w:marBottom w:val="0"/>
          <w:divBdr>
            <w:top w:val="none" w:sz="0" w:space="0" w:color="auto"/>
            <w:left w:val="none" w:sz="0" w:space="0" w:color="auto"/>
            <w:bottom w:val="none" w:sz="0" w:space="0" w:color="auto"/>
            <w:right w:val="none" w:sz="0" w:space="0" w:color="auto"/>
          </w:divBdr>
        </w:div>
      </w:divsChild>
    </w:div>
    <w:div w:id="415710617">
      <w:bodyDiv w:val="1"/>
      <w:marLeft w:val="0"/>
      <w:marRight w:val="0"/>
      <w:marTop w:val="0"/>
      <w:marBottom w:val="0"/>
      <w:divBdr>
        <w:top w:val="none" w:sz="0" w:space="0" w:color="auto"/>
        <w:left w:val="none" w:sz="0" w:space="0" w:color="auto"/>
        <w:bottom w:val="none" w:sz="0" w:space="0" w:color="auto"/>
        <w:right w:val="none" w:sz="0" w:space="0" w:color="auto"/>
      </w:divBdr>
      <w:divsChild>
        <w:div w:id="1376150538">
          <w:marLeft w:val="0"/>
          <w:marRight w:val="0"/>
          <w:marTop w:val="0"/>
          <w:marBottom w:val="0"/>
          <w:divBdr>
            <w:top w:val="none" w:sz="0" w:space="0" w:color="auto"/>
            <w:left w:val="none" w:sz="0" w:space="0" w:color="auto"/>
            <w:bottom w:val="none" w:sz="0" w:space="0" w:color="auto"/>
            <w:right w:val="none" w:sz="0" w:space="0" w:color="auto"/>
          </w:divBdr>
        </w:div>
        <w:div w:id="1785268604">
          <w:marLeft w:val="0"/>
          <w:marRight w:val="0"/>
          <w:marTop w:val="0"/>
          <w:marBottom w:val="0"/>
          <w:divBdr>
            <w:top w:val="none" w:sz="0" w:space="0" w:color="auto"/>
            <w:left w:val="none" w:sz="0" w:space="0" w:color="auto"/>
            <w:bottom w:val="none" w:sz="0" w:space="0" w:color="auto"/>
            <w:right w:val="none" w:sz="0" w:space="0" w:color="auto"/>
          </w:divBdr>
        </w:div>
        <w:div w:id="1677615304">
          <w:marLeft w:val="0"/>
          <w:marRight w:val="0"/>
          <w:marTop w:val="0"/>
          <w:marBottom w:val="0"/>
          <w:divBdr>
            <w:top w:val="none" w:sz="0" w:space="0" w:color="auto"/>
            <w:left w:val="none" w:sz="0" w:space="0" w:color="auto"/>
            <w:bottom w:val="none" w:sz="0" w:space="0" w:color="auto"/>
            <w:right w:val="none" w:sz="0" w:space="0" w:color="auto"/>
          </w:divBdr>
        </w:div>
        <w:div w:id="154998187">
          <w:marLeft w:val="0"/>
          <w:marRight w:val="0"/>
          <w:marTop w:val="0"/>
          <w:marBottom w:val="0"/>
          <w:divBdr>
            <w:top w:val="none" w:sz="0" w:space="0" w:color="auto"/>
            <w:left w:val="none" w:sz="0" w:space="0" w:color="auto"/>
            <w:bottom w:val="none" w:sz="0" w:space="0" w:color="auto"/>
            <w:right w:val="none" w:sz="0" w:space="0" w:color="auto"/>
          </w:divBdr>
        </w:div>
        <w:div w:id="1235050407">
          <w:marLeft w:val="0"/>
          <w:marRight w:val="0"/>
          <w:marTop w:val="0"/>
          <w:marBottom w:val="0"/>
          <w:divBdr>
            <w:top w:val="none" w:sz="0" w:space="0" w:color="auto"/>
            <w:left w:val="none" w:sz="0" w:space="0" w:color="auto"/>
            <w:bottom w:val="none" w:sz="0" w:space="0" w:color="auto"/>
            <w:right w:val="none" w:sz="0" w:space="0" w:color="auto"/>
          </w:divBdr>
        </w:div>
        <w:div w:id="871265386">
          <w:marLeft w:val="0"/>
          <w:marRight w:val="0"/>
          <w:marTop w:val="0"/>
          <w:marBottom w:val="0"/>
          <w:divBdr>
            <w:top w:val="none" w:sz="0" w:space="0" w:color="auto"/>
            <w:left w:val="none" w:sz="0" w:space="0" w:color="auto"/>
            <w:bottom w:val="none" w:sz="0" w:space="0" w:color="auto"/>
            <w:right w:val="none" w:sz="0" w:space="0" w:color="auto"/>
          </w:divBdr>
        </w:div>
        <w:div w:id="992106720">
          <w:marLeft w:val="0"/>
          <w:marRight w:val="0"/>
          <w:marTop w:val="0"/>
          <w:marBottom w:val="0"/>
          <w:divBdr>
            <w:top w:val="none" w:sz="0" w:space="0" w:color="auto"/>
            <w:left w:val="none" w:sz="0" w:space="0" w:color="auto"/>
            <w:bottom w:val="none" w:sz="0" w:space="0" w:color="auto"/>
            <w:right w:val="none" w:sz="0" w:space="0" w:color="auto"/>
          </w:divBdr>
        </w:div>
      </w:divsChild>
    </w:div>
    <w:div w:id="855383526">
      <w:bodyDiv w:val="1"/>
      <w:marLeft w:val="0"/>
      <w:marRight w:val="0"/>
      <w:marTop w:val="0"/>
      <w:marBottom w:val="0"/>
      <w:divBdr>
        <w:top w:val="none" w:sz="0" w:space="0" w:color="auto"/>
        <w:left w:val="none" w:sz="0" w:space="0" w:color="auto"/>
        <w:bottom w:val="none" w:sz="0" w:space="0" w:color="auto"/>
        <w:right w:val="none" w:sz="0" w:space="0" w:color="auto"/>
      </w:divBdr>
    </w:div>
    <w:div w:id="891573509">
      <w:bodyDiv w:val="1"/>
      <w:marLeft w:val="0"/>
      <w:marRight w:val="0"/>
      <w:marTop w:val="0"/>
      <w:marBottom w:val="0"/>
      <w:divBdr>
        <w:top w:val="none" w:sz="0" w:space="0" w:color="auto"/>
        <w:left w:val="none" w:sz="0" w:space="0" w:color="auto"/>
        <w:bottom w:val="none" w:sz="0" w:space="0" w:color="auto"/>
        <w:right w:val="none" w:sz="0" w:space="0" w:color="auto"/>
      </w:divBdr>
      <w:divsChild>
        <w:div w:id="398334778">
          <w:marLeft w:val="0"/>
          <w:marRight w:val="0"/>
          <w:marTop w:val="0"/>
          <w:marBottom w:val="0"/>
          <w:divBdr>
            <w:top w:val="none" w:sz="0" w:space="0" w:color="auto"/>
            <w:left w:val="none" w:sz="0" w:space="0" w:color="auto"/>
            <w:bottom w:val="none" w:sz="0" w:space="0" w:color="auto"/>
            <w:right w:val="none" w:sz="0" w:space="0" w:color="auto"/>
          </w:divBdr>
        </w:div>
        <w:div w:id="74596638">
          <w:marLeft w:val="0"/>
          <w:marRight w:val="0"/>
          <w:marTop w:val="0"/>
          <w:marBottom w:val="0"/>
          <w:divBdr>
            <w:top w:val="none" w:sz="0" w:space="0" w:color="auto"/>
            <w:left w:val="none" w:sz="0" w:space="0" w:color="auto"/>
            <w:bottom w:val="none" w:sz="0" w:space="0" w:color="auto"/>
            <w:right w:val="none" w:sz="0" w:space="0" w:color="auto"/>
          </w:divBdr>
          <w:divsChild>
            <w:div w:id="575088085">
              <w:marLeft w:val="0"/>
              <w:marRight w:val="0"/>
              <w:marTop w:val="0"/>
              <w:marBottom w:val="0"/>
              <w:divBdr>
                <w:top w:val="none" w:sz="0" w:space="0" w:color="auto"/>
                <w:left w:val="none" w:sz="0" w:space="0" w:color="auto"/>
                <w:bottom w:val="none" w:sz="0" w:space="0" w:color="auto"/>
                <w:right w:val="none" w:sz="0" w:space="0" w:color="auto"/>
              </w:divBdr>
            </w:div>
            <w:div w:id="1699694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498605">
      <w:bodyDiv w:val="1"/>
      <w:marLeft w:val="0"/>
      <w:marRight w:val="0"/>
      <w:marTop w:val="0"/>
      <w:marBottom w:val="0"/>
      <w:divBdr>
        <w:top w:val="none" w:sz="0" w:space="0" w:color="auto"/>
        <w:left w:val="none" w:sz="0" w:space="0" w:color="auto"/>
        <w:bottom w:val="none" w:sz="0" w:space="0" w:color="auto"/>
        <w:right w:val="none" w:sz="0" w:space="0" w:color="auto"/>
      </w:divBdr>
      <w:divsChild>
        <w:div w:id="857042735">
          <w:marLeft w:val="0"/>
          <w:marRight w:val="0"/>
          <w:marTop w:val="0"/>
          <w:marBottom w:val="0"/>
          <w:divBdr>
            <w:top w:val="none" w:sz="0" w:space="0" w:color="auto"/>
            <w:left w:val="none" w:sz="0" w:space="0" w:color="auto"/>
            <w:bottom w:val="none" w:sz="0" w:space="0" w:color="auto"/>
            <w:right w:val="none" w:sz="0" w:space="0" w:color="auto"/>
          </w:divBdr>
        </w:div>
        <w:div w:id="2100518853">
          <w:marLeft w:val="0"/>
          <w:marRight w:val="0"/>
          <w:marTop w:val="0"/>
          <w:marBottom w:val="0"/>
          <w:divBdr>
            <w:top w:val="none" w:sz="0" w:space="0" w:color="auto"/>
            <w:left w:val="none" w:sz="0" w:space="0" w:color="auto"/>
            <w:bottom w:val="none" w:sz="0" w:space="0" w:color="auto"/>
            <w:right w:val="none" w:sz="0" w:space="0" w:color="auto"/>
          </w:divBdr>
        </w:div>
      </w:divsChild>
    </w:div>
    <w:div w:id="1365254868">
      <w:bodyDiv w:val="1"/>
      <w:marLeft w:val="0"/>
      <w:marRight w:val="0"/>
      <w:marTop w:val="0"/>
      <w:marBottom w:val="0"/>
      <w:divBdr>
        <w:top w:val="none" w:sz="0" w:space="0" w:color="auto"/>
        <w:left w:val="none" w:sz="0" w:space="0" w:color="auto"/>
        <w:bottom w:val="none" w:sz="0" w:space="0" w:color="auto"/>
        <w:right w:val="none" w:sz="0" w:space="0" w:color="auto"/>
      </w:divBdr>
      <w:divsChild>
        <w:div w:id="1506281121">
          <w:marLeft w:val="0"/>
          <w:marRight w:val="0"/>
          <w:marTop w:val="0"/>
          <w:marBottom w:val="0"/>
          <w:divBdr>
            <w:top w:val="none" w:sz="0" w:space="0" w:color="auto"/>
            <w:left w:val="none" w:sz="0" w:space="0" w:color="auto"/>
            <w:bottom w:val="none" w:sz="0" w:space="0" w:color="auto"/>
            <w:right w:val="none" w:sz="0" w:space="0" w:color="auto"/>
          </w:divBdr>
        </w:div>
        <w:div w:id="1198086110">
          <w:marLeft w:val="0"/>
          <w:marRight w:val="0"/>
          <w:marTop w:val="0"/>
          <w:marBottom w:val="0"/>
          <w:divBdr>
            <w:top w:val="none" w:sz="0" w:space="0" w:color="auto"/>
            <w:left w:val="none" w:sz="0" w:space="0" w:color="auto"/>
            <w:bottom w:val="none" w:sz="0" w:space="0" w:color="auto"/>
            <w:right w:val="none" w:sz="0" w:space="0" w:color="auto"/>
          </w:divBdr>
        </w:div>
        <w:div w:id="1877809743">
          <w:marLeft w:val="0"/>
          <w:marRight w:val="0"/>
          <w:marTop w:val="0"/>
          <w:marBottom w:val="0"/>
          <w:divBdr>
            <w:top w:val="none" w:sz="0" w:space="0" w:color="auto"/>
            <w:left w:val="none" w:sz="0" w:space="0" w:color="auto"/>
            <w:bottom w:val="none" w:sz="0" w:space="0" w:color="auto"/>
            <w:right w:val="none" w:sz="0" w:space="0" w:color="auto"/>
          </w:divBdr>
        </w:div>
        <w:div w:id="1255935463">
          <w:marLeft w:val="0"/>
          <w:marRight w:val="0"/>
          <w:marTop w:val="0"/>
          <w:marBottom w:val="0"/>
          <w:divBdr>
            <w:top w:val="none" w:sz="0" w:space="0" w:color="auto"/>
            <w:left w:val="none" w:sz="0" w:space="0" w:color="auto"/>
            <w:bottom w:val="none" w:sz="0" w:space="0" w:color="auto"/>
            <w:right w:val="none" w:sz="0" w:space="0" w:color="auto"/>
          </w:divBdr>
        </w:div>
        <w:div w:id="1611745796">
          <w:marLeft w:val="0"/>
          <w:marRight w:val="0"/>
          <w:marTop w:val="0"/>
          <w:marBottom w:val="0"/>
          <w:divBdr>
            <w:top w:val="none" w:sz="0" w:space="0" w:color="auto"/>
            <w:left w:val="none" w:sz="0" w:space="0" w:color="auto"/>
            <w:bottom w:val="none" w:sz="0" w:space="0" w:color="auto"/>
            <w:right w:val="none" w:sz="0" w:space="0" w:color="auto"/>
          </w:divBdr>
        </w:div>
        <w:div w:id="116607770">
          <w:marLeft w:val="0"/>
          <w:marRight w:val="0"/>
          <w:marTop w:val="0"/>
          <w:marBottom w:val="0"/>
          <w:divBdr>
            <w:top w:val="none" w:sz="0" w:space="0" w:color="auto"/>
            <w:left w:val="none" w:sz="0" w:space="0" w:color="auto"/>
            <w:bottom w:val="none" w:sz="0" w:space="0" w:color="auto"/>
            <w:right w:val="none" w:sz="0" w:space="0" w:color="auto"/>
          </w:divBdr>
        </w:div>
        <w:div w:id="1037319929">
          <w:marLeft w:val="0"/>
          <w:marRight w:val="0"/>
          <w:marTop w:val="0"/>
          <w:marBottom w:val="0"/>
          <w:divBdr>
            <w:top w:val="none" w:sz="0" w:space="0" w:color="auto"/>
            <w:left w:val="none" w:sz="0" w:space="0" w:color="auto"/>
            <w:bottom w:val="none" w:sz="0" w:space="0" w:color="auto"/>
            <w:right w:val="none" w:sz="0" w:space="0" w:color="auto"/>
          </w:divBdr>
        </w:div>
        <w:div w:id="38408754">
          <w:marLeft w:val="0"/>
          <w:marRight w:val="0"/>
          <w:marTop w:val="0"/>
          <w:marBottom w:val="0"/>
          <w:divBdr>
            <w:top w:val="none" w:sz="0" w:space="0" w:color="auto"/>
            <w:left w:val="none" w:sz="0" w:space="0" w:color="auto"/>
            <w:bottom w:val="none" w:sz="0" w:space="0" w:color="auto"/>
            <w:right w:val="none" w:sz="0" w:space="0" w:color="auto"/>
          </w:divBdr>
        </w:div>
        <w:div w:id="600768755">
          <w:marLeft w:val="0"/>
          <w:marRight w:val="0"/>
          <w:marTop w:val="0"/>
          <w:marBottom w:val="0"/>
          <w:divBdr>
            <w:top w:val="none" w:sz="0" w:space="0" w:color="auto"/>
            <w:left w:val="none" w:sz="0" w:space="0" w:color="auto"/>
            <w:bottom w:val="none" w:sz="0" w:space="0" w:color="auto"/>
            <w:right w:val="none" w:sz="0" w:space="0" w:color="auto"/>
          </w:divBdr>
        </w:div>
        <w:div w:id="1738355076">
          <w:marLeft w:val="0"/>
          <w:marRight w:val="0"/>
          <w:marTop w:val="0"/>
          <w:marBottom w:val="0"/>
          <w:divBdr>
            <w:top w:val="none" w:sz="0" w:space="0" w:color="auto"/>
            <w:left w:val="none" w:sz="0" w:space="0" w:color="auto"/>
            <w:bottom w:val="none" w:sz="0" w:space="0" w:color="auto"/>
            <w:right w:val="none" w:sz="0" w:space="0" w:color="auto"/>
          </w:divBdr>
        </w:div>
        <w:div w:id="963123636">
          <w:marLeft w:val="0"/>
          <w:marRight w:val="0"/>
          <w:marTop w:val="0"/>
          <w:marBottom w:val="0"/>
          <w:divBdr>
            <w:top w:val="none" w:sz="0" w:space="0" w:color="auto"/>
            <w:left w:val="none" w:sz="0" w:space="0" w:color="auto"/>
            <w:bottom w:val="none" w:sz="0" w:space="0" w:color="auto"/>
            <w:right w:val="none" w:sz="0" w:space="0" w:color="auto"/>
          </w:divBdr>
        </w:div>
        <w:div w:id="732852123">
          <w:marLeft w:val="0"/>
          <w:marRight w:val="0"/>
          <w:marTop w:val="0"/>
          <w:marBottom w:val="0"/>
          <w:divBdr>
            <w:top w:val="none" w:sz="0" w:space="0" w:color="auto"/>
            <w:left w:val="none" w:sz="0" w:space="0" w:color="auto"/>
            <w:bottom w:val="none" w:sz="0" w:space="0" w:color="auto"/>
            <w:right w:val="none" w:sz="0" w:space="0" w:color="auto"/>
          </w:divBdr>
        </w:div>
        <w:div w:id="723681019">
          <w:marLeft w:val="0"/>
          <w:marRight w:val="0"/>
          <w:marTop w:val="0"/>
          <w:marBottom w:val="0"/>
          <w:divBdr>
            <w:top w:val="none" w:sz="0" w:space="0" w:color="auto"/>
            <w:left w:val="none" w:sz="0" w:space="0" w:color="auto"/>
            <w:bottom w:val="none" w:sz="0" w:space="0" w:color="auto"/>
            <w:right w:val="none" w:sz="0" w:space="0" w:color="auto"/>
          </w:divBdr>
        </w:div>
        <w:div w:id="550046211">
          <w:marLeft w:val="0"/>
          <w:marRight w:val="0"/>
          <w:marTop w:val="0"/>
          <w:marBottom w:val="0"/>
          <w:divBdr>
            <w:top w:val="none" w:sz="0" w:space="0" w:color="auto"/>
            <w:left w:val="none" w:sz="0" w:space="0" w:color="auto"/>
            <w:bottom w:val="none" w:sz="0" w:space="0" w:color="auto"/>
            <w:right w:val="none" w:sz="0" w:space="0" w:color="auto"/>
          </w:divBdr>
        </w:div>
        <w:div w:id="744837715">
          <w:marLeft w:val="0"/>
          <w:marRight w:val="0"/>
          <w:marTop w:val="0"/>
          <w:marBottom w:val="0"/>
          <w:divBdr>
            <w:top w:val="none" w:sz="0" w:space="0" w:color="auto"/>
            <w:left w:val="none" w:sz="0" w:space="0" w:color="auto"/>
            <w:bottom w:val="none" w:sz="0" w:space="0" w:color="auto"/>
            <w:right w:val="none" w:sz="0" w:space="0" w:color="auto"/>
          </w:divBdr>
        </w:div>
        <w:div w:id="1662001196">
          <w:marLeft w:val="0"/>
          <w:marRight w:val="0"/>
          <w:marTop w:val="0"/>
          <w:marBottom w:val="0"/>
          <w:divBdr>
            <w:top w:val="none" w:sz="0" w:space="0" w:color="auto"/>
            <w:left w:val="none" w:sz="0" w:space="0" w:color="auto"/>
            <w:bottom w:val="none" w:sz="0" w:space="0" w:color="auto"/>
            <w:right w:val="none" w:sz="0" w:space="0" w:color="auto"/>
          </w:divBdr>
        </w:div>
        <w:div w:id="970282578">
          <w:marLeft w:val="0"/>
          <w:marRight w:val="0"/>
          <w:marTop w:val="0"/>
          <w:marBottom w:val="0"/>
          <w:divBdr>
            <w:top w:val="none" w:sz="0" w:space="0" w:color="auto"/>
            <w:left w:val="none" w:sz="0" w:space="0" w:color="auto"/>
            <w:bottom w:val="none" w:sz="0" w:space="0" w:color="auto"/>
            <w:right w:val="none" w:sz="0" w:space="0" w:color="auto"/>
          </w:divBdr>
        </w:div>
        <w:div w:id="1002662108">
          <w:marLeft w:val="0"/>
          <w:marRight w:val="0"/>
          <w:marTop w:val="0"/>
          <w:marBottom w:val="0"/>
          <w:divBdr>
            <w:top w:val="none" w:sz="0" w:space="0" w:color="auto"/>
            <w:left w:val="none" w:sz="0" w:space="0" w:color="auto"/>
            <w:bottom w:val="none" w:sz="0" w:space="0" w:color="auto"/>
            <w:right w:val="none" w:sz="0" w:space="0" w:color="auto"/>
          </w:divBdr>
        </w:div>
        <w:div w:id="1480879211">
          <w:marLeft w:val="0"/>
          <w:marRight w:val="0"/>
          <w:marTop w:val="0"/>
          <w:marBottom w:val="0"/>
          <w:divBdr>
            <w:top w:val="none" w:sz="0" w:space="0" w:color="auto"/>
            <w:left w:val="none" w:sz="0" w:space="0" w:color="auto"/>
            <w:bottom w:val="none" w:sz="0" w:space="0" w:color="auto"/>
            <w:right w:val="none" w:sz="0" w:space="0" w:color="auto"/>
          </w:divBdr>
        </w:div>
        <w:div w:id="1945847338">
          <w:marLeft w:val="0"/>
          <w:marRight w:val="0"/>
          <w:marTop w:val="0"/>
          <w:marBottom w:val="0"/>
          <w:divBdr>
            <w:top w:val="none" w:sz="0" w:space="0" w:color="auto"/>
            <w:left w:val="none" w:sz="0" w:space="0" w:color="auto"/>
            <w:bottom w:val="none" w:sz="0" w:space="0" w:color="auto"/>
            <w:right w:val="none" w:sz="0" w:space="0" w:color="auto"/>
          </w:divBdr>
        </w:div>
        <w:div w:id="1292664766">
          <w:marLeft w:val="0"/>
          <w:marRight w:val="0"/>
          <w:marTop w:val="0"/>
          <w:marBottom w:val="0"/>
          <w:divBdr>
            <w:top w:val="none" w:sz="0" w:space="0" w:color="auto"/>
            <w:left w:val="none" w:sz="0" w:space="0" w:color="auto"/>
            <w:bottom w:val="none" w:sz="0" w:space="0" w:color="auto"/>
            <w:right w:val="none" w:sz="0" w:space="0" w:color="auto"/>
          </w:divBdr>
        </w:div>
        <w:div w:id="1457068865">
          <w:marLeft w:val="0"/>
          <w:marRight w:val="0"/>
          <w:marTop w:val="0"/>
          <w:marBottom w:val="0"/>
          <w:divBdr>
            <w:top w:val="none" w:sz="0" w:space="0" w:color="auto"/>
            <w:left w:val="none" w:sz="0" w:space="0" w:color="auto"/>
            <w:bottom w:val="none" w:sz="0" w:space="0" w:color="auto"/>
            <w:right w:val="none" w:sz="0" w:space="0" w:color="auto"/>
          </w:divBdr>
        </w:div>
        <w:div w:id="251090389">
          <w:marLeft w:val="0"/>
          <w:marRight w:val="0"/>
          <w:marTop w:val="0"/>
          <w:marBottom w:val="0"/>
          <w:divBdr>
            <w:top w:val="none" w:sz="0" w:space="0" w:color="auto"/>
            <w:left w:val="none" w:sz="0" w:space="0" w:color="auto"/>
            <w:bottom w:val="none" w:sz="0" w:space="0" w:color="auto"/>
            <w:right w:val="none" w:sz="0" w:space="0" w:color="auto"/>
          </w:divBdr>
        </w:div>
        <w:div w:id="2037191174">
          <w:marLeft w:val="0"/>
          <w:marRight w:val="0"/>
          <w:marTop w:val="0"/>
          <w:marBottom w:val="0"/>
          <w:divBdr>
            <w:top w:val="none" w:sz="0" w:space="0" w:color="auto"/>
            <w:left w:val="none" w:sz="0" w:space="0" w:color="auto"/>
            <w:bottom w:val="none" w:sz="0" w:space="0" w:color="auto"/>
            <w:right w:val="none" w:sz="0" w:space="0" w:color="auto"/>
          </w:divBdr>
        </w:div>
        <w:div w:id="2066179708">
          <w:marLeft w:val="0"/>
          <w:marRight w:val="0"/>
          <w:marTop w:val="0"/>
          <w:marBottom w:val="0"/>
          <w:divBdr>
            <w:top w:val="none" w:sz="0" w:space="0" w:color="auto"/>
            <w:left w:val="none" w:sz="0" w:space="0" w:color="auto"/>
            <w:bottom w:val="none" w:sz="0" w:space="0" w:color="auto"/>
            <w:right w:val="none" w:sz="0" w:space="0" w:color="auto"/>
          </w:divBdr>
        </w:div>
        <w:div w:id="1034233060">
          <w:marLeft w:val="0"/>
          <w:marRight w:val="0"/>
          <w:marTop w:val="0"/>
          <w:marBottom w:val="0"/>
          <w:divBdr>
            <w:top w:val="none" w:sz="0" w:space="0" w:color="auto"/>
            <w:left w:val="none" w:sz="0" w:space="0" w:color="auto"/>
            <w:bottom w:val="none" w:sz="0" w:space="0" w:color="auto"/>
            <w:right w:val="none" w:sz="0" w:space="0" w:color="auto"/>
          </w:divBdr>
        </w:div>
        <w:div w:id="1558206310">
          <w:marLeft w:val="0"/>
          <w:marRight w:val="0"/>
          <w:marTop w:val="0"/>
          <w:marBottom w:val="0"/>
          <w:divBdr>
            <w:top w:val="none" w:sz="0" w:space="0" w:color="auto"/>
            <w:left w:val="none" w:sz="0" w:space="0" w:color="auto"/>
            <w:bottom w:val="none" w:sz="0" w:space="0" w:color="auto"/>
            <w:right w:val="none" w:sz="0" w:space="0" w:color="auto"/>
          </w:divBdr>
        </w:div>
        <w:div w:id="1933707563">
          <w:marLeft w:val="0"/>
          <w:marRight w:val="0"/>
          <w:marTop w:val="0"/>
          <w:marBottom w:val="0"/>
          <w:divBdr>
            <w:top w:val="none" w:sz="0" w:space="0" w:color="auto"/>
            <w:left w:val="none" w:sz="0" w:space="0" w:color="auto"/>
            <w:bottom w:val="none" w:sz="0" w:space="0" w:color="auto"/>
            <w:right w:val="none" w:sz="0" w:space="0" w:color="auto"/>
          </w:divBdr>
        </w:div>
        <w:div w:id="1393311511">
          <w:marLeft w:val="0"/>
          <w:marRight w:val="0"/>
          <w:marTop w:val="0"/>
          <w:marBottom w:val="0"/>
          <w:divBdr>
            <w:top w:val="none" w:sz="0" w:space="0" w:color="auto"/>
            <w:left w:val="none" w:sz="0" w:space="0" w:color="auto"/>
            <w:bottom w:val="none" w:sz="0" w:space="0" w:color="auto"/>
            <w:right w:val="none" w:sz="0" w:space="0" w:color="auto"/>
          </w:divBdr>
        </w:div>
        <w:div w:id="1803689894">
          <w:marLeft w:val="0"/>
          <w:marRight w:val="0"/>
          <w:marTop w:val="0"/>
          <w:marBottom w:val="0"/>
          <w:divBdr>
            <w:top w:val="none" w:sz="0" w:space="0" w:color="auto"/>
            <w:left w:val="none" w:sz="0" w:space="0" w:color="auto"/>
            <w:bottom w:val="none" w:sz="0" w:space="0" w:color="auto"/>
            <w:right w:val="none" w:sz="0" w:space="0" w:color="auto"/>
          </w:divBdr>
        </w:div>
        <w:div w:id="952596941">
          <w:marLeft w:val="0"/>
          <w:marRight w:val="0"/>
          <w:marTop w:val="0"/>
          <w:marBottom w:val="0"/>
          <w:divBdr>
            <w:top w:val="none" w:sz="0" w:space="0" w:color="auto"/>
            <w:left w:val="none" w:sz="0" w:space="0" w:color="auto"/>
            <w:bottom w:val="none" w:sz="0" w:space="0" w:color="auto"/>
            <w:right w:val="none" w:sz="0" w:space="0" w:color="auto"/>
          </w:divBdr>
        </w:div>
        <w:div w:id="1521746198">
          <w:marLeft w:val="0"/>
          <w:marRight w:val="0"/>
          <w:marTop w:val="0"/>
          <w:marBottom w:val="0"/>
          <w:divBdr>
            <w:top w:val="none" w:sz="0" w:space="0" w:color="auto"/>
            <w:left w:val="none" w:sz="0" w:space="0" w:color="auto"/>
            <w:bottom w:val="none" w:sz="0" w:space="0" w:color="auto"/>
            <w:right w:val="none" w:sz="0" w:space="0" w:color="auto"/>
          </w:divBdr>
        </w:div>
        <w:div w:id="782770894">
          <w:marLeft w:val="0"/>
          <w:marRight w:val="0"/>
          <w:marTop w:val="0"/>
          <w:marBottom w:val="0"/>
          <w:divBdr>
            <w:top w:val="none" w:sz="0" w:space="0" w:color="auto"/>
            <w:left w:val="none" w:sz="0" w:space="0" w:color="auto"/>
            <w:bottom w:val="none" w:sz="0" w:space="0" w:color="auto"/>
            <w:right w:val="none" w:sz="0" w:space="0" w:color="auto"/>
          </w:divBdr>
        </w:div>
        <w:div w:id="1510363624">
          <w:marLeft w:val="0"/>
          <w:marRight w:val="0"/>
          <w:marTop w:val="0"/>
          <w:marBottom w:val="0"/>
          <w:divBdr>
            <w:top w:val="none" w:sz="0" w:space="0" w:color="auto"/>
            <w:left w:val="none" w:sz="0" w:space="0" w:color="auto"/>
            <w:bottom w:val="none" w:sz="0" w:space="0" w:color="auto"/>
            <w:right w:val="none" w:sz="0" w:space="0" w:color="auto"/>
          </w:divBdr>
        </w:div>
      </w:divsChild>
    </w:div>
    <w:div w:id="1587765369">
      <w:bodyDiv w:val="1"/>
      <w:marLeft w:val="0"/>
      <w:marRight w:val="0"/>
      <w:marTop w:val="0"/>
      <w:marBottom w:val="0"/>
      <w:divBdr>
        <w:top w:val="none" w:sz="0" w:space="0" w:color="auto"/>
        <w:left w:val="none" w:sz="0" w:space="0" w:color="auto"/>
        <w:bottom w:val="none" w:sz="0" w:space="0" w:color="auto"/>
        <w:right w:val="none" w:sz="0" w:space="0" w:color="auto"/>
      </w:divBdr>
    </w:div>
    <w:div w:id="1757432229">
      <w:bodyDiv w:val="1"/>
      <w:marLeft w:val="0"/>
      <w:marRight w:val="0"/>
      <w:marTop w:val="0"/>
      <w:marBottom w:val="0"/>
      <w:divBdr>
        <w:top w:val="none" w:sz="0" w:space="0" w:color="auto"/>
        <w:left w:val="none" w:sz="0" w:space="0" w:color="auto"/>
        <w:bottom w:val="none" w:sz="0" w:space="0" w:color="auto"/>
        <w:right w:val="none" w:sz="0" w:space="0" w:color="auto"/>
      </w:divBdr>
      <w:divsChild>
        <w:div w:id="966936428">
          <w:marLeft w:val="0"/>
          <w:marRight w:val="0"/>
          <w:marTop w:val="0"/>
          <w:marBottom w:val="0"/>
          <w:divBdr>
            <w:top w:val="none" w:sz="0" w:space="0" w:color="auto"/>
            <w:left w:val="none" w:sz="0" w:space="0" w:color="auto"/>
            <w:bottom w:val="none" w:sz="0" w:space="0" w:color="auto"/>
            <w:right w:val="none" w:sz="0" w:space="0" w:color="auto"/>
          </w:divBdr>
        </w:div>
        <w:div w:id="726803851">
          <w:marLeft w:val="0"/>
          <w:marRight w:val="0"/>
          <w:marTop w:val="0"/>
          <w:marBottom w:val="0"/>
          <w:divBdr>
            <w:top w:val="none" w:sz="0" w:space="0" w:color="auto"/>
            <w:left w:val="none" w:sz="0" w:space="0" w:color="auto"/>
            <w:bottom w:val="none" w:sz="0" w:space="0" w:color="auto"/>
            <w:right w:val="none" w:sz="0" w:space="0" w:color="auto"/>
          </w:divBdr>
        </w:div>
      </w:divsChild>
    </w:div>
    <w:div w:id="1762294146">
      <w:bodyDiv w:val="1"/>
      <w:marLeft w:val="0"/>
      <w:marRight w:val="0"/>
      <w:marTop w:val="0"/>
      <w:marBottom w:val="0"/>
      <w:divBdr>
        <w:top w:val="none" w:sz="0" w:space="0" w:color="auto"/>
        <w:left w:val="none" w:sz="0" w:space="0" w:color="auto"/>
        <w:bottom w:val="none" w:sz="0" w:space="0" w:color="auto"/>
        <w:right w:val="none" w:sz="0" w:space="0" w:color="auto"/>
      </w:divBdr>
      <w:divsChild>
        <w:div w:id="1682466249">
          <w:marLeft w:val="0"/>
          <w:marRight w:val="0"/>
          <w:marTop w:val="0"/>
          <w:marBottom w:val="0"/>
          <w:divBdr>
            <w:top w:val="none" w:sz="0" w:space="0" w:color="auto"/>
            <w:left w:val="none" w:sz="0" w:space="0" w:color="auto"/>
            <w:bottom w:val="none" w:sz="0" w:space="0" w:color="auto"/>
            <w:right w:val="none" w:sz="0" w:space="0" w:color="auto"/>
          </w:divBdr>
        </w:div>
        <w:div w:id="1277522173">
          <w:marLeft w:val="0"/>
          <w:marRight w:val="0"/>
          <w:marTop w:val="0"/>
          <w:marBottom w:val="0"/>
          <w:divBdr>
            <w:top w:val="none" w:sz="0" w:space="0" w:color="auto"/>
            <w:left w:val="none" w:sz="0" w:space="0" w:color="auto"/>
            <w:bottom w:val="none" w:sz="0" w:space="0" w:color="auto"/>
            <w:right w:val="none" w:sz="0" w:space="0" w:color="auto"/>
          </w:divBdr>
        </w:div>
        <w:div w:id="1155535492">
          <w:marLeft w:val="0"/>
          <w:marRight w:val="0"/>
          <w:marTop w:val="0"/>
          <w:marBottom w:val="0"/>
          <w:divBdr>
            <w:top w:val="none" w:sz="0" w:space="0" w:color="auto"/>
            <w:left w:val="none" w:sz="0" w:space="0" w:color="auto"/>
            <w:bottom w:val="none" w:sz="0" w:space="0" w:color="auto"/>
            <w:right w:val="none" w:sz="0" w:space="0" w:color="auto"/>
          </w:divBdr>
        </w:div>
        <w:div w:id="1606499051">
          <w:marLeft w:val="0"/>
          <w:marRight w:val="0"/>
          <w:marTop w:val="0"/>
          <w:marBottom w:val="0"/>
          <w:divBdr>
            <w:top w:val="none" w:sz="0" w:space="0" w:color="auto"/>
            <w:left w:val="none" w:sz="0" w:space="0" w:color="auto"/>
            <w:bottom w:val="none" w:sz="0" w:space="0" w:color="auto"/>
            <w:right w:val="none" w:sz="0" w:space="0" w:color="auto"/>
          </w:divBdr>
        </w:div>
      </w:divsChild>
    </w:div>
    <w:div w:id="1925188457">
      <w:bodyDiv w:val="1"/>
      <w:marLeft w:val="0"/>
      <w:marRight w:val="0"/>
      <w:marTop w:val="0"/>
      <w:marBottom w:val="0"/>
      <w:divBdr>
        <w:top w:val="none" w:sz="0" w:space="0" w:color="auto"/>
        <w:left w:val="none" w:sz="0" w:space="0" w:color="auto"/>
        <w:bottom w:val="none" w:sz="0" w:space="0" w:color="auto"/>
        <w:right w:val="none" w:sz="0" w:space="0" w:color="auto"/>
      </w:divBdr>
      <w:divsChild>
        <w:div w:id="1582569427">
          <w:marLeft w:val="0"/>
          <w:marRight w:val="0"/>
          <w:marTop w:val="0"/>
          <w:marBottom w:val="0"/>
          <w:divBdr>
            <w:top w:val="none" w:sz="0" w:space="0" w:color="auto"/>
            <w:left w:val="none" w:sz="0" w:space="0" w:color="auto"/>
            <w:bottom w:val="none" w:sz="0" w:space="0" w:color="auto"/>
            <w:right w:val="none" w:sz="0" w:space="0" w:color="auto"/>
          </w:divBdr>
        </w:div>
        <w:div w:id="2051297225">
          <w:marLeft w:val="0"/>
          <w:marRight w:val="0"/>
          <w:marTop w:val="0"/>
          <w:marBottom w:val="0"/>
          <w:divBdr>
            <w:top w:val="none" w:sz="0" w:space="0" w:color="auto"/>
            <w:left w:val="none" w:sz="0" w:space="0" w:color="auto"/>
            <w:bottom w:val="none" w:sz="0" w:space="0" w:color="auto"/>
            <w:right w:val="none" w:sz="0" w:space="0" w:color="auto"/>
          </w:divBdr>
        </w:div>
      </w:divsChild>
    </w:div>
    <w:div w:id="2087654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21stcclcntac.org" TargetMode="External"/><Relationship Id="rId18" Type="http://schemas.openxmlformats.org/officeDocument/2006/relationships/hyperlink" Target="https://assets-global.website-files.com/5d3725188825e071f1670246/626c27c785879e08c1a7c8ea_Supporting%20and%20Responding%20to%20Students%E2%80%99%20Social%2C%20Emotional%2C%20and%20Behavioral%20Needs.pdf" TargetMode="External"/><Relationship Id="rId26" Type="http://schemas.openxmlformats.org/officeDocument/2006/relationships/hyperlink" Target="https://doi.org/10.1177/1477878518817377" TargetMode="External"/><Relationship Id="rId39" Type="http://schemas.openxmlformats.org/officeDocument/2006/relationships/hyperlink" Target="https://doi.org/10.1007/s10864-005-2706-9" TargetMode="External"/><Relationship Id="rId21" Type="http://schemas.openxmlformats.org/officeDocument/2006/relationships/hyperlink" Target="https://www.panoramaed.com/blog/guide-to-behavior-specific-praise-in-the-classroom" TargetMode="External"/><Relationship Id="rId34" Type="http://schemas.openxmlformats.org/officeDocument/2006/relationships/hyperlink" Target="https://cssp.org/2019/11/honoring-the-global-indigenous-roots-of-restorative-justice/" TargetMode="External"/><Relationship Id="rId42" Type="http://schemas.openxmlformats.org/officeDocument/2006/relationships/hyperlink" Target="https://doi.org/10.1023/A:1021320817372" TargetMode="External"/><Relationship Id="rId47" Type="http://schemas.openxmlformats.org/officeDocument/2006/relationships/hyperlink" Target="http://www.21stcclcntac.org" TargetMode="External"/><Relationship Id="rId50" Type="http://schemas.openxmlformats.org/officeDocument/2006/relationships/footer" Target="footer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s://www.pbis.org/resource/instructional-and-restorative-alternatives-to-exclusionary-discipline-isla-guide" TargetMode="External"/><Relationship Id="rId29" Type="http://schemas.openxmlformats.org/officeDocument/2006/relationships/hyperlink" Target="https://ies.ed.gov/transfer.asp?sec=true&amp;location=www.childpsych.theclinics.com/article/S1056-4993(14)00112-6/abstract" TargetMode="External"/><Relationship Id="rId11" Type="http://schemas.openxmlformats.org/officeDocument/2006/relationships/hyperlink" Target="http://www.cclcntac.org" TargetMode="External"/><Relationship Id="rId24" Type="http://schemas.openxmlformats.org/officeDocument/2006/relationships/hyperlink" Target="https://files.eric.ed.gov/fulltext/EJ1160167.pdf" TargetMode="External"/><Relationship Id="rId32" Type="http://schemas.openxmlformats.org/officeDocument/2006/relationships/hyperlink" Target="https://edsource.org/2017/suspension-expulsion-rates-fall-sharply-in-california-public-schools-butracial-disparities-remain/589722" TargetMode="External"/><Relationship Id="rId37" Type="http://schemas.openxmlformats.org/officeDocument/2006/relationships/hyperlink" Target="https://www.fact.virginia.gov/wp-content/uploads/2017/04/FACT-ISSUE-BRIEF-TRAUMA-INFORMED-SCHOOLS-final1.pdf" TargetMode="External"/><Relationship Id="rId40" Type="http://schemas.openxmlformats.org/officeDocument/2006/relationships/hyperlink" Target="https://doi.org/10.3102/00346543231203674" TargetMode="External"/><Relationship Id="rId45" Type="http://schemas.openxmlformats.org/officeDocument/2006/relationships/hyperlink" Target="https://poorvucenter.yale.edu/ImplicitBiasAwareness" TargetMode="External"/><Relationship Id="rId53"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1.png"/><Relationship Id="rId19" Type="http://schemas.openxmlformats.org/officeDocument/2006/relationships/hyperlink" Target="https://www.cdc.gov/healthyschools/physicalactivity/classroom-pa.htm" TargetMode="External"/><Relationship Id="rId31" Type="http://schemas.openxmlformats.org/officeDocument/2006/relationships/hyperlink" Target="https://journals.sagepub.com/doi/10.1177/1074295617729795" TargetMode="External"/><Relationship Id="rId44" Type="http://schemas.openxmlformats.org/officeDocument/2006/relationships/hyperlink" Target="https://www.edutopia.org/article/using-restorative-conversations-mend-relationships-schools/" TargetMode="External"/><Relationship Id="rId52"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apa.org/ed/schools/primer/trauma" TargetMode="External"/><Relationship Id="rId22" Type="http://schemas.openxmlformats.org/officeDocument/2006/relationships/hyperlink" Target="http://dx.doi.org/10.1177/1074295618798587" TargetMode="External"/><Relationship Id="rId27" Type="http://schemas.openxmlformats.org/officeDocument/2006/relationships/hyperlink" Target="https://implicit.harvard.edu/implicit/takeatest.html" TargetMode="External"/><Relationship Id="rId30" Type="http://schemas.openxmlformats.org/officeDocument/2006/relationships/hyperlink" Target="https://doi.org/10.3389/fpubh.2022.925213" TargetMode="External"/><Relationship Id="rId35" Type="http://schemas.openxmlformats.org/officeDocument/2006/relationships/hyperlink" Target="https://intensiveintervention.org/resource/behavior-basics" TargetMode="External"/><Relationship Id="rId43" Type="http://schemas.openxmlformats.org/officeDocument/2006/relationships/hyperlink" Target="https://doi.org/10.1007/s10964-022-01645-x" TargetMode="External"/><Relationship Id="rId48" Type="http://schemas.openxmlformats.org/officeDocument/2006/relationships/image" Target="media/image2.png"/><Relationship Id="rId8" Type="http://schemas.openxmlformats.org/officeDocument/2006/relationships/footnotes" Target="footnotes.xml"/><Relationship Id="rId51" Type="http://schemas.openxmlformats.org/officeDocument/2006/relationships/header" Target="header2.xml"/><Relationship Id="rId3" Type="http://schemas.openxmlformats.org/officeDocument/2006/relationships/customXml" Target="../customXml/item3.xml"/><Relationship Id="rId12" Type="http://schemas.openxmlformats.org/officeDocument/2006/relationships/hyperlink" Target="http://www.cclcntac.org" TargetMode="External"/><Relationship Id="rId17" Type="http://schemas.openxmlformats.org/officeDocument/2006/relationships/hyperlink" Target="https://www.pbis.org/resource/strategies-for-de-escalating-student-behavior-in-the-classroom" TargetMode="External"/><Relationship Id="rId25" Type="http://schemas.openxmlformats.org/officeDocument/2006/relationships/hyperlink" Target="https://psycnet.apa.org/doi/10.1037/spq0000216" TargetMode="External"/><Relationship Id="rId33" Type="http://schemas.openxmlformats.org/officeDocument/2006/relationships/hyperlink" Target="https://goo.gl/O6Btqi" TargetMode="External"/><Relationship Id="rId38" Type="http://schemas.openxmlformats.org/officeDocument/2006/relationships/hyperlink" Target="https://www.apa.org/education-career/k12/relationships" TargetMode="External"/><Relationship Id="rId46" Type="http://schemas.openxmlformats.org/officeDocument/2006/relationships/hyperlink" Target="http://www.21stcclcntac.org" TargetMode="External"/><Relationship Id="rId20" Type="http://schemas.openxmlformats.org/officeDocument/2006/relationships/hyperlink" Target="http://dx.doi.org/10.31234/osf.io/42j7v" TargetMode="External"/><Relationship Id="rId41" Type="http://schemas.openxmlformats.org/officeDocument/2006/relationships/hyperlink" Target="https://schottfoundation.org/wp-content/uploads/restorative-practices-guide.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files.eric.ed.gov/fulltext/ED629271.pdf" TargetMode="External"/><Relationship Id="rId23" Type="http://schemas.openxmlformats.org/officeDocument/2006/relationships/hyperlink" Target="http://ies.ed.gov/ncee/wwc/publications/practiceguides" TargetMode="External"/><Relationship Id="rId28" Type="http://schemas.openxmlformats.org/officeDocument/2006/relationships/hyperlink" Target="https://www.thecut.com/2017/07/when-stress-makes-you-fall-asleep.html" TargetMode="External"/><Relationship Id="rId36" Type="http://schemas.openxmlformats.org/officeDocument/2006/relationships/hyperlink" Target="https://www.nctsn.org/trauma-informed-care/secondary-traumatic-stress" TargetMode="External"/><Relationship Id="rId4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6" Type="http://schemas.openxmlformats.org/officeDocument/2006/relationships/image" Target="media/image10.png"/><Relationship Id="rId5" Type="http://schemas.openxmlformats.org/officeDocument/2006/relationships/image" Target="media/image9.png"/><Relationship Id="rId4"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785</TotalTime>
  <Pages>8</Pages>
  <Words>4209</Words>
  <Characters>21933</Characters>
  <Application>Microsoft Office Word</Application>
  <DocSecurity>0</DocSecurity>
  <Lines>313</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26095</CharactersWithSpaces>
  <SharedDoc>false</SharedDoc>
  <HLinks>
    <vt:vector size="210" baseType="variant">
      <vt:variant>
        <vt:i4>8257633</vt:i4>
      </vt:variant>
      <vt:variant>
        <vt:i4>96</vt:i4>
      </vt:variant>
      <vt:variant>
        <vt:i4>0</vt:i4>
      </vt:variant>
      <vt:variant>
        <vt:i4>5</vt:i4>
      </vt:variant>
      <vt:variant>
        <vt:lpwstr>https://poorvucenter.yale.edu/ImplicitBiasAwareness</vt:lpwstr>
      </vt:variant>
      <vt:variant>
        <vt:lpwstr/>
      </vt:variant>
      <vt:variant>
        <vt:i4>917579</vt:i4>
      </vt:variant>
      <vt:variant>
        <vt:i4>93</vt:i4>
      </vt:variant>
      <vt:variant>
        <vt:i4>0</vt:i4>
      </vt:variant>
      <vt:variant>
        <vt:i4>5</vt:i4>
      </vt:variant>
      <vt:variant>
        <vt:lpwstr>https://www.edutopia.org/article/using-restorative-conversations-mend-relationships-schools/</vt:lpwstr>
      </vt:variant>
      <vt:variant>
        <vt:lpwstr/>
      </vt:variant>
      <vt:variant>
        <vt:i4>6684722</vt:i4>
      </vt:variant>
      <vt:variant>
        <vt:i4>90</vt:i4>
      </vt:variant>
      <vt:variant>
        <vt:i4>0</vt:i4>
      </vt:variant>
      <vt:variant>
        <vt:i4>5</vt:i4>
      </vt:variant>
      <vt:variant>
        <vt:lpwstr>https://doi.org/10.1007/s10964-022-01645-x</vt:lpwstr>
      </vt:variant>
      <vt:variant>
        <vt:lpwstr/>
      </vt:variant>
      <vt:variant>
        <vt:i4>2097210</vt:i4>
      </vt:variant>
      <vt:variant>
        <vt:i4>87</vt:i4>
      </vt:variant>
      <vt:variant>
        <vt:i4>0</vt:i4>
      </vt:variant>
      <vt:variant>
        <vt:i4>5</vt:i4>
      </vt:variant>
      <vt:variant>
        <vt:lpwstr>https://doi.org/10.1023/A:1021320817372</vt:lpwstr>
      </vt:variant>
      <vt:variant>
        <vt:lpwstr/>
      </vt:variant>
      <vt:variant>
        <vt:i4>7667770</vt:i4>
      </vt:variant>
      <vt:variant>
        <vt:i4>84</vt:i4>
      </vt:variant>
      <vt:variant>
        <vt:i4>0</vt:i4>
      </vt:variant>
      <vt:variant>
        <vt:i4>5</vt:i4>
      </vt:variant>
      <vt:variant>
        <vt:lpwstr>https://schottfoundation.org/wp-content/uploads/restorative-practices-guide.pdf</vt:lpwstr>
      </vt:variant>
      <vt:variant>
        <vt:lpwstr/>
      </vt:variant>
      <vt:variant>
        <vt:i4>1441885</vt:i4>
      </vt:variant>
      <vt:variant>
        <vt:i4>81</vt:i4>
      </vt:variant>
      <vt:variant>
        <vt:i4>0</vt:i4>
      </vt:variant>
      <vt:variant>
        <vt:i4>5</vt:i4>
      </vt:variant>
      <vt:variant>
        <vt:lpwstr>https://doi.org/10.3102/00346543231203674</vt:lpwstr>
      </vt:variant>
      <vt:variant>
        <vt:lpwstr/>
      </vt:variant>
      <vt:variant>
        <vt:i4>262169</vt:i4>
      </vt:variant>
      <vt:variant>
        <vt:i4>78</vt:i4>
      </vt:variant>
      <vt:variant>
        <vt:i4>0</vt:i4>
      </vt:variant>
      <vt:variant>
        <vt:i4>5</vt:i4>
      </vt:variant>
      <vt:variant>
        <vt:lpwstr>https://doi.org/10.1007/s10864-005-2706-9</vt:lpwstr>
      </vt:variant>
      <vt:variant>
        <vt:lpwstr/>
      </vt:variant>
      <vt:variant>
        <vt:i4>3735648</vt:i4>
      </vt:variant>
      <vt:variant>
        <vt:i4>75</vt:i4>
      </vt:variant>
      <vt:variant>
        <vt:i4>0</vt:i4>
      </vt:variant>
      <vt:variant>
        <vt:i4>5</vt:i4>
      </vt:variant>
      <vt:variant>
        <vt:lpwstr>https://www.apa.org/education-career/k12/relationships</vt:lpwstr>
      </vt:variant>
      <vt:variant>
        <vt:lpwstr/>
      </vt:variant>
      <vt:variant>
        <vt:i4>4194372</vt:i4>
      </vt:variant>
      <vt:variant>
        <vt:i4>72</vt:i4>
      </vt:variant>
      <vt:variant>
        <vt:i4>0</vt:i4>
      </vt:variant>
      <vt:variant>
        <vt:i4>5</vt:i4>
      </vt:variant>
      <vt:variant>
        <vt:lpwstr>https://www.fact.virginia.gov/wp-content/uploads/2017/04/FACT-ISSUE-BRIEF-TRAUMA-INFORMED-SCHOOLS-final1.pdf</vt:lpwstr>
      </vt:variant>
      <vt:variant>
        <vt:lpwstr/>
      </vt:variant>
      <vt:variant>
        <vt:i4>458845</vt:i4>
      </vt:variant>
      <vt:variant>
        <vt:i4>69</vt:i4>
      </vt:variant>
      <vt:variant>
        <vt:i4>0</vt:i4>
      </vt:variant>
      <vt:variant>
        <vt:i4>5</vt:i4>
      </vt:variant>
      <vt:variant>
        <vt:lpwstr>https://www.nctsn.org/trauma-informed-care/secondary-traumatic-stress</vt:lpwstr>
      </vt:variant>
      <vt:variant>
        <vt:lpwstr/>
      </vt:variant>
      <vt:variant>
        <vt:i4>2424950</vt:i4>
      </vt:variant>
      <vt:variant>
        <vt:i4>66</vt:i4>
      </vt:variant>
      <vt:variant>
        <vt:i4>0</vt:i4>
      </vt:variant>
      <vt:variant>
        <vt:i4>5</vt:i4>
      </vt:variant>
      <vt:variant>
        <vt:lpwstr>https://intensiveintervention.org/resource/behavior-basics</vt:lpwstr>
      </vt:variant>
      <vt:variant>
        <vt:lpwstr/>
      </vt:variant>
      <vt:variant>
        <vt:i4>851987</vt:i4>
      </vt:variant>
      <vt:variant>
        <vt:i4>63</vt:i4>
      </vt:variant>
      <vt:variant>
        <vt:i4>0</vt:i4>
      </vt:variant>
      <vt:variant>
        <vt:i4>5</vt:i4>
      </vt:variant>
      <vt:variant>
        <vt:lpwstr>https://cssp.org/2019/11/honoring-the-global-indigenous-roots-of-restorative-justice/</vt:lpwstr>
      </vt:variant>
      <vt:variant>
        <vt:lpwstr/>
      </vt:variant>
      <vt:variant>
        <vt:i4>4194370</vt:i4>
      </vt:variant>
      <vt:variant>
        <vt:i4>60</vt:i4>
      </vt:variant>
      <vt:variant>
        <vt:i4>0</vt:i4>
      </vt:variant>
      <vt:variant>
        <vt:i4>5</vt:i4>
      </vt:variant>
      <vt:variant>
        <vt:lpwstr>https://goo.gl/O6Btqi</vt:lpwstr>
      </vt:variant>
      <vt:variant>
        <vt:lpwstr/>
      </vt:variant>
      <vt:variant>
        <vt:i4>7143551</vt:i4>
      </vt:variant>
      <vt:variant>
        <vt:i4>57</vt:i4>
      </vt:variant>
      <vt:variant>
        <vt:i4>0</vt:i4>
      </vt:variant>
      <vt:variant>
        <vt:i4>5</vt:i4>
      </vt:variant>
      <vt:variant>
        <vt:lpwstr>https://edsource.org/2017/suspension-expulsion-rates-fall-sharply-in-california-public-schools-butracial-disparities-remain/589722</vt:lpwstr>
      </vt:variant>
      <vt:variant>
        <vt:lpwstr/>
      </vt:variant>
      <vt:variant>
        <vt:i4>327692</vt:i4>
      </vt:variant>
      <vt:variant>
        <vt:i4>54</vt:i4>
      </vt:variant>
      <vt:variant>
        <vt:i4>0</vt:i4>
      </vt:variant>
      <vt:variant>
        <vt:i4>5</vt:i4>
      </vt:variant>
      <vt:variant>
        <vt:lpwstr>https://journals.sagepub.com/doi/10.1177/1074295617729795</vt:lpwstr>
      </vt:variant>
      <vt:variant>
        <vt:lpwstr/>
      </vt:variant>
      <vt:variant>
        <vt:i4>1703941</vt:i4>
      </vt:variant>
      <vt:variant>
        <vt:i4>51</vt:i4>
      </vt:variant>
      <vt:variant>
        <vt:i4>0</vt:i4>
      </vt:variant>
      <vt:variant>
        <vt:i4>5</vt:i4>
      </vt:variant>
      <vt:variant>
        <vt:lpwstr>https://doi.org/10.3389/fpubh.2022.925213</vt:lpwstr>
      </vt:variant>
      <vt:variant>
        <vt:lpwstr/>
      </vt:variant>
      <vt:variant>
        <vt:i4>6881313</vt:i4>
      </vt:variant>
      <vt:variant>
        <vt:i4>48</vt:i4>
      </vt:variant>
      <vt:variant>
        <vt:i4>0</vt:i4>
      </vt:variant>
      <vt:variant>
        <vt:i4>5</vt:i4>
      </vt:variant>
      <vt:variant>
        <vt:lpwstr>https://ies.ed.gov/transfer.asp?sec=true&amp;location=www.childpsych.theclinics.com/article/S1056-4993(14)00112-6/abstract</vt:lpwstr>
      </vt:variant>
      <vt:variant>
        <vt:lpwstr/>
      </vt:variant>
      <vt:variant>
        <vt:i4>4325471</vt:i4>
      </vt:variant>
      <vt:variant>
        <vt:i4>45</vt:i4>
      </vt:variant>
      <vt:variant>
        <vt:i4>0</vt:i4>
      </vt:variant>
      <vt:variant>
        <vt:i4>5</vt:i4>
      </vt:variant>
      <vt:variant>
        <vt:lpwstr>https://www.thecut.com/2017/07/when-stress-makes-you-fall-asleep.html</vt:lpwstr>
      </vt:variant>
      <vt:variant>
        <vt:lpwstr/>
      </vt:variant>
      <vt:variant>
        <vt:i4>720907</vt:i4>
      </vt:variant>
      <vt:variant>
        <vt:i4>42</vt:i4>
      </vt:variant>
      <vt:variant>
        <vt:i4>0</vt:i4>
      </vt:variant>
      <vt:variant>
        <vt:i4>5</vt:i4>
      </vt:variant>
      <vt:variant>
        <vt:lpwstr>https://implicit.harvard.edu/implicit/takeatest.html</vt:lpwstr>
      </vt:variant>
      <vt:variant>
        <vt:lpwstr/>
      </vt:variant>
      <vt:variant>
        <vt:i4>1572947</vt:i4>
      </vt:variant>
      <vt:variant>
        <vt:i4>39</vt:i4>
      </vt:variant>
      <vt:variant>
        <vt:i4>0</vt:i4>
      </vt:variant>
      <vt:variant>
        <vt:i4>5</vt:i4>
      </vt:variant>
      <vt:variant>
        <vt:lpwstr>https://doi.org/10.1177/1477878518817377</vt:lpwstr>
      </vt:variant>
      <vt:variant>
        <vt:lpwstr/>
      </vt:variant>
      <vt:variant>
        <vt:i4>6291581</vt:i4>
      </vt:variant>
      <vt:variant>
        <vt:i4>36</vt:i4>
      </vt:variant>
      <vt:variant>
        <vt:i4>0</vt:i4>
      </vt:variant>
      <vt:variant>
        <vt:i4>5</vt:i4>
      </vt:variant>
      <vt:variant>
        <vt:lpwstr>https://psycnet.apa.org/doi/10.1037/spq0000216</vt:lpwstr>
      </vt:variant>
      <vt:variant>
        <vt:lpwstr/>
      </vt:variant>
      <vt:variant>
        <vt:i4>5439568</vt:i4>
      </vt:variant>
      <vt:variant>
        <vt:i4>33</vt:i4>
      </vt:variant>
      <vt:variant>
        <vt:i4>0</vt:i4>
      </vt:variant>
      <vt:variant>
        <vt:i4>5</vt:i4>
      </vt:variant>
      <vt:variant>
        <vt:lpwstr>https://files.eric.ed.gov/fulltext/EJ1160167.pdf</vt:lpwstr>
      </vt:variant>
      <vt:variant>
        <vt:lpwstr/>
      </vt:variant>
      <vt:variant>
        <vt:i4>6619188</vt:i4>
      </vt:variant>
      <vt:variant>
        <vt:i4>30</vt:i4>
      </vt:variant>
      <vt:variant>
        <vt:i4>0</vt:i4>
      </vt:variant>
      <vt:variant>
        <vt:i4>5</vt:i4>
      </vt:variant>
      <vt:variant>
        <vt:lpwstr>http://ies.ed.gov/ncee/wwc/publications/practiceguides</vt:lpwstr>
      </vt:variant>
      <vt:variant>
        <vt:lpwstr/>
      </vt:variant>
      <vt:variant>
        <vt:i4>7077994</vt:i4>
      </vt:variant>
      <vt:variant>
        <vt:i4>27</vt:i4>
      </vt:variant>
      <vt:variant>
        <vt:i4>0</vt:i4>
      </vt:variant>
      <vt:variant>
        <vt:i4>5</vt:i4>
      </vt:variant>
      <vt:variant>
        <vt:lpwstr>http://dx.doi.org/10.1177/1074295618798587</vt:lpwstr>
      </vt:variant>
      <vt:variant>
        <vt:lpwstr/>
      </vt:variant>
      <vt:variant>
        <vt:i4>1966159</vt:i4>
      </vt:variant>
      <vt:variant>
        <vt:i4>24</vt:i4>
      </vt:variant>
      <vt:variant>
        <vt:i4>0</vt:i4>
      </vt:variant>
      <vt:variant>
        <vt:i4>5</vt:i4>
      </vt:variant>
      <vt:variant>
        <vt:lpwstr>https://www.panoramaed.com/blog/guide-to-behavior-specific-praise-in-the-classroom</vt:lpwstr>
      </vt:variant>
      <vt:variant>
        <vt:lpwstr>modal_module_1551829375889251</vt:lpwstr>
      </vt:variant>
      <vt:variant>
        <vt:i4>589942</vt:i4>
      </vt:variant>
      <vt:variant>
        <vt:i4>21</vt:i4>
      </vt:variant>
      <vt:variant>
        <vt:i4>0</vt:i4>
      </vt:variant>
      <vt:variant>
        <vt:i4>5</vt:i4>
      </vt:variant>
      <vt:variant>
        <vt:lpwstr>https://link.springer.com/chapter/10.1007/978-3-319-56083-0_14</vt:lpwstr>
      </vt:variant>
      <vt:variant>
        <vt:lpwstr>chapter-info</vt:lpwstr>
      </vt:variant>
      <vt:variant>
        <vt:i4>2621445</vt:i4>
      </vt:variant>
      <vt:variant>
        <vt:i4>18</vt:i4>
      </vt:variant>
      <vt:variant>
        <vt:i4>0</vt:i4>
      </vt:variant>
      <vt:variant>
        <vt:i4>5</vt:i4>
      </vt:variant>
      <vt:variant>
        <vt:lpwstr>https://link.springer.com/chapter/10.1007/978-3-319-56083-0_14</vt:lpwstr>
      </vt:variant>
      <vt:variant>
        <vt:lpwstr>auth-_ahin-Dani_man</vt:lpwstr>
      </vt:variant>
      <vt:variant>
        <vt:i4>5636173</vt:i4>
      </vt:variant>
      <vt:variant>
        <vt:i4>15</vt:i4>
      </vt:variant>
      <vt:variant>
        <vt:i4>0</vt:i4>
      </vt:variant>
      <vt:variant>
        <vt:i4>5</vt:i4>
      </vt:variant>
      <vt:variant>
        <vt:lpwstr>https://www.cdc.gov/healthyschools/physicalactivity/classroom-pa.htm</vt:lpwstr>
      </vt:variant>
      <vt:variant>
        <vt:lpwstr/>
      </vt:variant>
      <vt:variant>
        <vt:i4>2687000</vt:i4>
      </vt:variant>
      <vt:variant>
        <vt:i4>12</vt:i4>
      </vt:variant>
      <vt:variant>
        <vt:i4>0</vt:i4>
      </vt:variant>
      <vt:variant>
        <vt:i4>5</vt:i4>
      </vt:variant>
      <vt:variant>
        <vt:lpwstr>https://assets-global.website-files.com/5d3725188825e071f1670246/626c27c785879e08c1a7c8ea_Supporting and Responding to Students%E2%80%99 Social%2C Emotional%2C and Behavioral Needs.pdf</vt:lpwstr>
      </vt:variant>
      <vt:variant>
        <vt:lpwstr/>
      </vt:variant>
      <vt:variant>
        <vt:i4>393304</vt:i4>
      </vt:variant>
      <vt:variant>
        <vt:i4>9</vt:i4>
      </vt:variant>
      <vt:variant>
        <vt:i4>0</vt:i4>
      </vt:variant>
      <vt:variant>
        <vt:i4>5</vt:i4>
      </vt:variant>
      <vt:variant>
        <vt:lpwstr>https://www.pbis.org/resource/strategies-for-de-escalating-student-behavior-in-the-classroom</vt:lpwstr>
      </vt:variant>
      <vt:variant>
        <vt:lpwstr/>
      </vt:variant>
      <vt:variant>
        <vt:i4>2687101</vt:i4>
      </vt:variant>
      <vt:variant>
        <vt:i4>6</vt:i4>
      </vt:variant>
      <vt:variant>
        <vt:i4>0</vt:i4>
      </vt:variant>
      <vt:variant>
        <vt:i4>5</vt:i4>
      </vt:variant>
      <vt:variant>
        <vt:lpwstr>https://www.pbis.org/resource/instructional-and-restorative-alternatives-to-exclusionary-discipline-isla-guide</vt:lpwstr>
      </vt:variant>
      <vt:variant>
        <vt:lpwstr/>
      </vt:variant>
      <vt:variant>
        <vt:i4>3539042</vt:i4>
      </vt:variant>
      <vt:variant>
        <vt:i4>3</vt:i4>
      </vt:variant>
      <vt:variant>
        <vt:i4>0</vt:i4>
      </vt:variant>
      <vt:variant>
        <vt:i4>5</vt:i4>
      </vt:variant>
      <vt:variant>
        <vt:lpwstr>https://files.eric.ed.gov/fulltext/ED629271.pdf</vt:lpwstr>
      </vt:variant>
      <vt:variant>
        <vt:lpwstr/>
      </vt:variant>
      <vt:variant>
        <vt:i4>1900632</vt:i4>
      </vt:variant>
      <vt:variant>
        <vt:i4>0</vt:i4>
      </vt:variant>
      <vt:variant>
        <vt:i4>0</vt:i4>
      </vt:variant>
      <vt:variant>
        <vt:i4>5</vt:i4>
      </vt:variant>
      <vt:variant>
        <vt:lpwstr>https://www.apa.org/ed/schools/primer/trauma</vt:lpwstr>
      </vt:variant>
      <vt:variant>
        <vt:lpwstr/>
      </vt:variant>
      <vt:variant>
        <vt:i4>1638410</vt:i4>
      </vt:variant>
      <vt:variant>
        <vt:i4>3</vt:i4>
      </vt:variant>
      <vt:variant>
        <vt:i4>0</vt:i4>
      </vt:variant>
      <vt:variant>
        <vt:i4>5</vt:i4>
      </vt:variant>
      <vt:variant>
        <vt:lpwstr>http://www.21stcclcntac.org/</vt:lpwstr>
      </vt:variant>
      <vt:variant>
        <vt:lpwstr/>
      </vt:variant>
      <vt:variant>
        <vt:i4>5767247</vt:i4>
      </vt:variant>
      <vt:variant>
        <vt:i4>0</vt:i4>
      </vt:variant>
      <vt:variant>
        <vt:i4>0</vt:i4>
      </vt:variant>
      <vt:variant>
        <vt:i4>5</vt:i4>
      </vt:variant>
      <vt:variant>
        <vt:lpwstr>http://www.cclcntac.org/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219</cp:revision>
  <cp:lastPrinted>2024-03-11T04:00:00Z</cp:lastPrinted>
  <dcterms:created xsi:type="dcterms:W3CDTF">2024-02-16T22:16:00Z</dcterms:created>
  <dcterms:modified xsi:type="dcterms:W3CDTF">2024-03-11T05:38:00Z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